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jc w:val="center"/>
        <w:rPr>
          <w:rFonts w:hint="default" w:ascii="Times New Roman" w:hAnsi="Times New Roman" w:cs="Times New Roman"/>
          <w:b/>
          <w:sz w:val="84"/>
          <w:highlight w:val="none"/>
        </w:rPr>
      </w:pPr>
      <w:r>
        <w:rPr>
          <w:rFonts w:hint="default" w:ascii="Times New Roman" w:hAnsi="Times New Roman" w:cs="Times New Roman"/>
          <w:b/>
          <w:sz w:val="84"/>
          <w:highlight w:val="none"/>
        </w:rPr>
        <w:t xml:space="preserve">太仓市政府采购</w:t>
      </w:r>
      <w:r/>
    </w:p>
    <w:p>
      <w:pPr>
        <w:jc w:val="center"/>
        <w:rPr>
          <w:rFonts w:hint="default" w:ascii="Times New Roman" w:hAnsi="Times New Roman" w:cs="Times New Roman"/>
          <w:b/>
          <w:sz w:val="84"/>
          <w:highlight w:val="none"/>
        </w:rPr>
      </w:pPr>
      <w:r>
        <w:rPr>
          <w:rFonts w:hint="default" w:ascii="Times New Roman" w:hAnsi="Times New Roman" w:cs="Times New Roman"/>
          <w:b/>
          <w:sz w:val="84"/>
          <w:highlight w:val="none"/>
        </w:rPr>
        <w:t xml:space="preserve">招标文件</w:t>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firstLine="851"/>
        <w:jc w:val="both"/>
        <w:spacing w:before="0" w:line="360" w:lineRule="auto"/>
        <w:rPr>
          <w:rFonts w:hint="default" w:ascii="Times New Roman" w:hAnsi="Times New Roman" w:cs="Times New Roman"/>
          <w:b/>
          <w:bCs/>
          <w:sz w:val="32"/>
          <w:szCs w:val="32"/>
          <w:highlight w:val="none"/>
          <w:lang w:eastAsia="zh-CN"/>
        </w:rPr>
      </w:pPr>
      <w:r>
        <w:rPr>
          <w:rFonts w:hint="default" w:ascii="Times New Roman" w:hAnsi="Times New Roman" w:cs="Times New Roman"/>
          <w:b/>
          <w:bCs/>
          <w:sz w:val="32"/>
          <w:szCs w:val="32"/>
          <w:highlight w:val="none"/>
        </w:rPr>
        <w:t xml:space="preserve">项目编号：</w:t>
      </w:r>
      <w:r>
        <w:rPr>
          <w:rFonts w:hint="eastAsia" w:ascii="Times New Roman" w:cs="Times New Roman"/>
          <w:b/>
          <w:bCs/>
          <w:sz w:val="32"/>
          <w:szCs w:val="32"/>
          <w:highlight w:val="none"/>
          <w:lang w:eastAsia="zh-CN"/>
        </w:rPr>
        <w:t xml:space="preserve">JSZC-320585-SUYT-G2026-0001</w:t>
      </w:r>
      <w:r/>
    </w:p>
    <w:p>
      <w:pPr>
        <w:pStyle w:val="821"/>
        <w:ind w:left="0" w:firstLine="851"/>
        <w:jc w:val="both"/>
        <w:spacing w:before="0" w:line="360" w:lineRule="auto"/>
        <w:rPr>
          <w:rFonts w:hint="default" w:ascii="Times New Roman" w:hAnsi="Times New Roman" w:cs="Times New Roman"/>
          <w:b/>
          <w:bCs/>
          <w:sz w:val="32"/>
          <w:szCs w:val="32"/>
          <w:highlight w:val="none"/>
        </w:rPr>
      </w:pPr>
      <w:r>
        <w:rPr>
          <w:rFonts w:hint="default" w:ascii="Times New Roman" w:hAnsi="Times New Roman" w:cs="Times New Roman"/>
          <w:b/>
          <w:bCs/>
          <w:sz w:val="32"/>
          <w:szCs w:val="32"/>
          <w:highlight w:val="none"/>
        </w:rPr>
        <w:t xml:space="preserve">采购内容：太仓市实验高级中学安保服务</w:t>
      </w:r>
      <w:r/>
    </w:p>
    <w:p>
      <w:pPr>
        <w:pStyle w:val="821"/>
        <w:ind w:left="0" w:firstLine="851"/>
        <w:jc w:val="both"/>
        <w:spacing w:before="0" w:line="360" w:lineRule="auto"/>
        <w:rPr>
          <w:rFonts w:hint="default" w:ascii="Times New Roman" w:hAnsi="Times New Roman" w:cs="Times New Roman"/>
          <w:b/>
          <w:bCs/>
          <w:sz w:val="32"/>
          <w:szCs w:val="32"/>
          <w:highlight w:val="none"/>
        </w:rPr>
      </w:pPr>
      <w:r>
        <w:rPr>
          <w:rFonts w:hint="default" w:ascii="Times New Roman" w:hAnsi="Times New Roman" w:cs="Times New Roman"/>
          <w:b/>
          <w:bCs/>
          <w:sz w:val="32"/>
          <w:szCs w:val="32"/>
          <w:highlight w:val="none"/>
        </w:rPr>
        <w:t xml:space="preserve">采购单位：太仓市实验高级中学</w:t>
      </w:r>
      <w:r/>
    </w:p>
    <w:p>
      <w:pPr>
        <w:pStyle w:val="821"/>
        <w:ind w:left="0" w:firstLine="851"/>
        <w:jc w:val="both"/>
        <w:spacing w:before="0" w:line="360" w:lineRule="auto"/>
        <w:rPr>
          <w:rFonts w:hint="default" w:ascii="Times New Roman" w:hAnsi="Times New Roman" w:cs="Times New Roman"/>
          <w:b/>
          <w:bCs/>
          <w:sz w:val="32"/>
          <w:szCs w:val="32"/>
          <w:highlight w:val="none"/>
        </w:rPr>
      </w:pPr>
      <w:r>
        <w:rPr>
          <w:rFonts w:hint="default" w:ascii="Times New Roman" w:hAnsi="Times New Roman" w:cs="Times New Roman"/>
          <w:b/>
          <w:bCs/>
          <w:sz w:val="32"/>
          <w:szCs w:val="32"/>
          <w:highlight w:val="none"/>
        </w:rPr>
        <w:t xml:space="preserve">项目类别：服务类 </w:t>
      </w:r>
      <w:r/>
    </w:p>
    <w:p>
      <w:pPr>
        <w:pStyle w:val="821"/>
        <w:ind w:left="0" w:firstLine="851"/>
        <w:jc w:val="both"/>
        <w:spacing w:before="0" w:line="360" w:lineRule="auto"/>
        <w:rPr>
          <w:rFonts w:hint="default" w:ascii="Times New Roman" w:hAnsi="Times New Roman" w:cs="Times New Roman"/>
          <w:b/>
          <w:bCs/>
          <w:sz w:val="32"/>
          <w:szCs w:val="32"/>
          <w:highlight w:val="none"/>
        </w:rPr>
      </w:pPr>
      <w:r>
        <w:rPr>
          <w:rFonts w:hint="default" w:ascii="Times New Roman" w:hAnsi="Times New Roman" w:cs="Times New Roman"/>
          <w:b/>
          <w:bCs/>
          <w:sz w:val="32"/>
          <w:szCs w:val="32"/>
          <w:highlight w:val="none"/>
        </w:rPr>
        <w:t xml:space="preserve">标的所属行业：（十五）租赁和商务服务业</w:t>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center"/>
        <w:spacing w:before="0" w:line="360" w:lineRule="auto"/>
        <w:rPr>
          <w:rFonts w:hint="default" w:ascii="Times New Roman" w:hAnsi="Times New Roman" w:eastAsia="宋体" w:cs="Times New Roman"/>
          <w:b/>
          <w:bCs/>
          <w:sz w:val="32"/>
          <w:szCs w:val="32"/>
          <w:highlight w:val="none"/>
          <w:lang w:eastAsia="zh-CN"/>
        </w:rPr>
      </w:pPr>
      <w:r>
        <w:rPr>
          <w:rFonts w:hint="default" w:ascii="Times New Roman" w:hAnsi="Times New Roman" w:cs="Times New Roman"/>
          <w:b/>
          <w:bCs/>
          <w:sz w:val="32"/>
          <w:szCs w:val="32"/>
          <w:highlight w:val="none"/>
        </w:rPr>
        <w:t xml:space="preserve">代理机构：</w:t>
      </w:r>
      <w:r>
        <w:rPr>
          <w:rFonts w:hint="default" w:ascii="Times New Roman" w:hAnsi="Times New Roman" w:cs="Times New Roman"/>
          <w:b/>
          <w:bCs/>
          <w:sz w:val="32"/>
          <w:szCs w:val="32"/>
          <w:highlight w:val="none"/>
          <w:lang w:eastAsia="zh-CN"/>
        </w:rPr>
        <w:t xml:space="preserve">苏州一投建设发展有限公司</w:t>
      </w:r>
      <w:r/>
    </w:p>
    <w:p>
      <w:pPr>
        <w:pStyle w:val="821"/>
        <w:ind w:left="0"/>
        <w:jc w:val="center"/>
        <w:spacing w:before="0" w:line="360" w:lineRule="auto"/>
        <w:rPr>
          <w:rFonts w:hint="default" w:ascii="Times New Roman" w:hAnsi="Times New Roman" w:cs="Times New Roman"/>
          <w:b/>
          <w:bCs/>
          <w:sz w:val="32"/>
          <w:szCs w:val="32"/>
          <w:highlight w:val="none"/>
        </w:rPr>
      </w:pPr>
      <w:r>
        <w:rPr>
          <w:rFonts w:hint="default" w:ascii="Times New Roman" w:hAnsi="Times New Roman" w:cs="Times New Roman"/>
          <w:b/>
          <w:bCs/>
          <w:sz w:val="32"/>
          <w:szCs w:val="32"/>
          <w:highlight w:val="none"/>
        </w:rPr>
        <w:t xml:space="preserve">二</w:t>
      </w:r>
      <w:r>
        <w:rPr>
          <w:rFonts w:hint="eastAsia" w:ascii="Times New Roman" w:cs="Times New Roman"/>
          <w:b/>
          <w:bCs/>
          <w:sz w:val="32"/>
          <w:szCs w:val="32"/>
          <w:highlight w:val="none"/>
          <w:lang w:val="en-US" w:eastAsia="zh-CN"/>
        </w:rPr>
        <w:t xml:space="preserve">〇</w:t>
      </w:r>
      <w:r>
        <w:rPr>
          <w:rFonts w:hint="default" w:ascii="Times New Roman" w:hAnsi="Times New Roman" w:cs="Times New Roman"/>
          <w:b/>
          <w:bCs/>
          <w:sz w:val="32"/>
          <w:szCs w:val="32"/>
          <w:highlight w:val="none"/>
        </w:rPr>
        <w:t xml:space="preserve">二</w:t>
      </w:r>
      <w:r>
        <w:rPr>
          <w:rFonts w:hint="eastAsia" w:ascii="Times New Roman" w:cs="Times New Roman"/>
          <w:b/>
          <w:bCs/>
          <w:sz w:val="32"/>
          <w:szCs w:val="32"/>
          <w:highlight w:val="none"/>
          <w:lang w:val="en-US" w:eastAsia="zh-CN"/>
        </w:rPr>
        <w:t xml:space="preserve">六</w:t>
      </w:r>
      <w:r>
        <w:rPr>
          <w:rFonts w:hint="default" w:ascii="Times New Roman" w:hAnsi="Times New Roman" w:cs="Times New Roman"/>
          <w:b/>
          <w:bCs/>
          <w:sz w:val="32"/>
          <w:szCs w:val="32"/>
          <w:highlight w:val="none"/>
        </w:rPr>
        <w:t xml:space="preserve">年</w:t>
      </w:r>
      <w:r>
        <w:rPr>
          <w:rFonts w:hint="eastAsia" w:ascii="Times New Roman" w:cs="Times New Roman"/>
          <w:b/>
          <w:bCs/>
          <w:sz w:val="32"/>
          <w:szCs w:val="32"/>
          <w:highlight w:val="none"/>
          <w:lang w:val="en-US" w:eastAsia="zh-CN"/>
        </w:rPr>
        <w:t xml:space="preserve">一</w:t>
      </w:r>
      <w:r>
        <w:rPr>
          <w:rFonts w:hint="default" w:ascii="Times New Roman" w:hAnsi="Times New Roman" w:cs="Times New Roman"/>
          <w:b/>
          <w:bCs/>
          <w:sz w:val="32"/>
          <w:szCs w:val="32"/>
          <w:highlight w:val="none"/>
        </w:rPr>
        <w:t xml:space="preserve">月</w:t>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jc w:val="center"/>
        <w:rPr>
          <w:rFonts w:hint="default" w:ascii="Times New Roman" w:hAnsi="Times New Roman" w:cs="Times New Roman"/>
          <w:b/>
          <w:sz w:val="44"/>
          <w:szCs w:val="44"/>
          <w:highlight w:val="none"/>
        </w:rPr>
      </w:pPr>
      <w:r>
        <w:rPr>
          <w:rFonts w:hint="default" w:ascii="Times New Roman" w:hAnsi="Times New Roman" w:cs="Times New Roman"/>
          <w:b/>
          <w:sz w:val="44"/>
          <w:szCs w:val="44"/>
          <w:highlight w:val="none"/>
        </w:rPr>
      </w:r>
      <w:r/>
    </w:p>
    <w:p>
      <w:pPr>
        <w:jc w:val="center"/>
        <w:rPr>
          <w:rFonts w:hint="default" w:ascii="Times New Roman" w:hAnsi="Times New Roman" w:cs="Times New Roman"/>
          <w:b/>
          <w:sz w:val="44"/>
          <w:szCs w:val="44"/>
          <w:highlight w:val="none"/>
        </w:rPr>
      </w:pPr>
      <w:r>
        <w:rPr>
          <w:rFonts w:hint="default" w:ascii="Times New Roman" w:hAnsi="Times New Roman" w:cs="Times New Roman"/>
          <w:b/>
          <w:sz w:val="44"/>
          <w:szCs w:val="44"/>
          <w:highlight w:val="none"/>
        </w:rPr>
      </w:r>
      <w:r/>
    </w:p>
    <w:p>
      <w:pPr>
        <w:jc w:val="center"/>
        <w:rPr>
          <w:rFonts w:hint="default" w:ascii="Times New Roman" w:hAnsi="Times New Roman" w:cs="Times New Roman"/>
          <w:b/>
          <w:sz w:val="44"/>
          <w:szCs w:val="44"/>
          <w:highlight w:val="none"/>
        </w:rPr>
      </w:pPr>
      <w:r>
        <w:rPr>
          <w:rFonts w:hint="default" w:ascii="Times New Roman" w:hAnsi="Times New Roman" w:cs="Times New Roman"/>
          <w:b/>
          <w:sz w:val="44"/>
          <w:szCs w:val="44"/>
          <w:highlight w:val="none"/>
        </w:rPr>
        <w:t xml:space="preserve">目   录</w:t>
      </w:r>
      <w:r/>
    </w:p>
    <w:sdt>
      <w:sdtPr>
        <w15:appearance w15:val="boundingBox"/>
        <w:id w:val="511881242"/>
        <w:docPartObj>
          <w:docPartGallery w:val="Table of Contents"/>
          <w:docPartUnique w:val="true"/>
        </w:docPartObj>
        <w:rPr>
          <w:rFonts w:hint="default" w:ascii="Times New Roman" w:hAnsi="Times New Roman" w:cs="Times New Roman"/>
          <w:sz w:val="22"/>
          <w:szCs w:val="22"/>
          <w:highlight w:val="none"/>
          <w:lang w:val="zh-CN"/>
        </w:rPr>
      </w:sdtPr>
      <w:sdtContent>
        <w:p>
          <w:pPr>
            <w:pStyle w:val="1033"/>
            <w:rPr>
              <w:rFonts w:hint="default" w:ascii="Times New Roman" w:hAnsi="Times New Roman" w:cs="Times New Roman"/>
              <w:highlight w:val="none"/>
            </w:rPr>
          </w:pPr>
          <w:r>
            <w:rPr>
              <w:rFonts w:hint="default" w:ascii="Times New Roman" w:hAnsi="Times New Roman" w:cs="Times New Roman"/>
              <w:highlight w:val="none"/>
            </w:rPr>
          </w:r>
          <w:r/>
        </w:p>
        <w:p>
          <w:pPr>
            <w:pStyle w:val="833"/>
            <w:rPr>
              <w:rFonts w:hint="default" w:ascii="Times New Roman" w:hAnsi="Times New Roman" w:cs="Times New Roman" w:eastAsiaTheme="minorEastAsia"/>
              <w:b w:val="0"/>
              <w:bCs w:val="0"/>
              <w:caps w:val="0"/>
              <w:sz w:val="21"/>
              <w:szCs w:val="22"/>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TOC \o "1-3" \h \z \u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"_Toc159507035" \o "#_Toc159507035" </w:instrText>
          </w:r>
          <w:r>
            <w:rPr>
              <w:rFonts w:hint="default" w:ascii="Times New Roman" w:hAnsi="Times New Roman" w:cs="Times New Roman"/>
              <w:highlight w:val="none"/>
            </w:rPr>
            <w:fldChar w:fldCharType="separate"/>
          </w:r>
          <w:r>
            <w:rPr>
              <w:rStyle w:val="851"/>
              <w:rFonts w:hint="default" w:ascii="Times New Roman" w:hAnsi="Times New Roman" w:cs="Times New Roman"/>
              <w:color w:val="auto"/>
              <w:highlight w:val="none"/>
            </w:rPr>
            <w:t xml:space="preserve">第一章 招标公告</w:t>
          </w:r>
          <w:r>
            <w:rPr>
              <w:rFonts w:hint="default" w:ascii="Times New Roman" w:hAnsi="Times New Roman" w:cs="Times New Roman"/>
              <w:highlight w:val="none"/>
            </w:rPr>
            <w:fldChar w:fldCharType="end"/>
          </w:r>
          <w:r/>
        </w:p>
        <w:p>
          <w:pPr>
            <w:pStyle w:val="833"/>
            <w:rPr>
              <w:rFonts w:hint="default" w:ascii="Times New Roman" w:hAnsi="Times New Roman" w:cs="Times New Roman" w:eastAsiaTheme="minorEastAsia"/>
              <w:b w:val="0"/>
              <w:bCs w:val="0"/>
              <w:caps w:val="0"/>
              <w:sz w:val="21"/>
              <w:szCs w:val="22"/>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"_Toc159507036" \o "#_Toc159507036" </w:instrText>
          </w:r>
          <w:r>
            <w:rPr>
              <w:rFonts w:hint="default" w:ascii="Times New Roman" w:hAnsi="Times New Roman" w:cs="Times New Roman"/>
              <w:highlight w:val="none"/>
            </w:rPr>
            <w:fldChar w:fldCharType="separate"/>
          </w:r>
          <w:r>
            <w:rPr>
              <w:rStyle w:val="851"/>
              <w:rFonts w:hint="default" w:ascii="Times New Roman" w:hAnsi="Times New Roman" w:cs="Times New Roman"/>
              <w:color w:val="auto"/>
              <w:highlight w:val="none"/>
            </w:rPr>
            <w:t xml:space="preserve">第二章 投标人须知</w:t>
          </w:r>
          <w:r>
            <w:rPr>
              <w:rFonts w:hint="default" w:ascii="Times New Roman" w:hAnsi="Times New Roman" w:cs="Times New Roman"/>
              <w:highlight w:val="none"/>
            </w:rPr>
            <w:fldChar w:fldCharType="end"/>
          </w:r>
          <w:r/>
        </w:p>
        <w:p>
          <w:pPr>
            <w:pStyle w:val="833"/>
            <w:rPr>
              <w:rFonts w:hint="default" w:ascii="Times New Roman" w:hAnsi="Times New Roman" w:cs="Times New Roman" w:eastAsiaTheme="minorEastAsia"/>
              <w:b w:val="0"/>
              <w:bCs w:val="0"/>
              <w:caps w:val="0"/>
              <w:sz w:val="21"/>
              <w:szCs w:val="22"/>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"_Toc159507037" \o "#_Toc159507037" </w:instrText>
          </w:r>
          <w:r>
            <w:rPr>
              <w:rFonts w:hint="default" w:ascii="Times New Roman" w:hAnsi="Times New Roman" w:cs="Times New Roman"/>
              <w:highlight w:val="none"/>
            </w:rPr>
            <w:fldChar w:fldCharType="separate"/>
          </w:r>
          <w:r>
            <w:rPr>
              <w:rStyle w:val="851"/>
              <w:rFonts w:hint="default" w:ascii="Times New Roman" w:hAnsi="Times New Roman" w:cs="Times New Roman"/>
              <w:color w:val="auto"/>
              <w:highlight w:val="none"/>
            </w:rPr>
            <w:t xml:space="preserve">第三章 项目需求</w:t>
          </w:r>
          <w:r>
            <w:rPr>
              <w:rFonts w:hint="default" w:ascii="Times New Roman" w:hAnsi="Times New Roman" w:cs="Times New Roman"/>
              <w:highlight w:val="none"/>
            </w:rPr>
            <w:fldChar w:fldCharType="end"/>
          </w:r>
          <w:r/>
        </w:p>
        <w:p>
          <w:pPr>
            <w:pStyle w:val="833"/>
            <w:rPr>
              <w:rFonts w:hint="default" w:ascii="Times New Roman" w:hAnsi="Times New Roman" w:cs="Times New Roman" w:eastAsiaTheme="minorEastAsia"/>
              <w:b w:val="0"/>
              <w:bCs w:val="0"/>
              <w:caps w:val="0"/>
              <w:sz w:val="21"/>
              <w:szCs w:val="22"/>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"_Toc159507038" \o "#_Toc159507038" </w:instrText>
          </w:r>
          <w:r>
            <w:rPr>
              <w:rFonts w:hint="default" w:ascii="Times New Roman" w:hAnsi="Times New Roman" w:cs="Times New Roman"/>
              <w:highlight w:val="none"/>
            </w:rPr>
            <w:fldChar w:fldCharType="separate"/>
          </w:r>
          <w:r>
            <w:rPr>
              <w:rStyle w:val="851"/>
              <w:rFonts w:hint="default" w:ascii="Times New Roman" w:hAnsi="Times New Roman" w:cs="Times New Roman"/>
              <w:color w:val="auto"/>
              <w:highlight w:val="none"/>
            </w:rPr>
            <w:t xml:space="preserve">第四章 评分办法及评标标准</w:t>
          </w:r>
          <w:r>
            <w:rPr>
              <w:rFonts w:hint="default" w:ascii="Times New Roman" w:hAnsi="Times New Roman" w:cs="Times New Roman"/>
              <w:highlight w:val="none"/>
            </w:rPr>
            <w:fldChar w:fldCharType="end"/>
          </w:r>
          <w:r/>
        </w:p>
        <w:p>
          <w:pPr>
            <w:pStyle w:val="833"/>
            <w:rPr>
              <w:rFonts w:hint="default" w:ascii="Times New Roman" w:hAnsi="Times New Roman" w:cs="Times New Roman" w:eastAsiaTheme="minorEastAsia"/>
              <w:b w:val="0"/>
              <w:bCs w:val="0"/>
              <w:caps w:val="0"/>
              <w:sz w:val="21"/>
              <w:szCs w:val="22"/>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"_Toc159507039" \o "#_Toc159507039" </w:instrText>
          </w:r>
          <w:r>
            <w:rPr>
              <w:rFonts w:hint="default" w:ascii="Times New Roman" w:hAnsi="Times New Roman" w:cs="Times New Roman"/>
              <w:highlight w:val="none"/>
            </w:rPr>
            <w:fldChar w:fldCharType="separate"/>
          </w:r>
          <w:r>
            <w:rPr>
              <w:rStyle w:val="851"/>
              <w:rFonts w:hint="default" w:ascii="Times New Roman" w:hAnsi="Times New Roman" w:cs="Times New Roman"/>
              <w:color w:val="auto"/>
              <w:highlight w:val="none"/>
            </w:rPr>
            <w:t xml:space="preserve">第五章 投标文件格式</w:t>
          </w:r>
          <w:r>
            <w:rPr>
              <w:rFonts w:hint="default" w:ascii="Times New Roman" w:hAnsi="Times New Roman" w:cs="Times New Roman"/>
              <w:highlight w:val="none"/>
            </w:rPr>
            <w:fldChar w:fldCharType="end"/>
          </w:r>
          <w:r/>
        </w:p>
        <w:p>
          <w:pPr>
            <w:pStyle w:val="833"/>
            <w:rPr>
              <w:rFonts w:hint="default" w:ascii="Times New Roman" w:hAnsi="Times New Roman" w:cs="Times New Roman" w:eastAsiaTheme="minorEastAsia"/>
              <w:b w:val="0"/>
              <w:bCs w:val="0"/>
              <w:caps w:val="0"/>
              <w:sz w:val="21"/>
              <w:szCs w:val="22"/>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"_Toc159507040" \o "#_Toc159507040" </w:instrText>
          </w:r>
          <w:r>
            <w:rPr>
              <w:rFonts w:hint="default" w:ascii="Times New Roman" w:hAnsi="Times New Roman" w:cs="Times New Roman"/>
              <w:highlight w:val="none"/>
            </w:rPr>
            <w:fldChar w:fldCharType="separate"/>
          </w:r>
          <w:r>
            <w:rPr>
              <w:rStyle w:val="851"/>
              <w:rFonts w:hint="default" w:ascii="Times New Roman" w:hAnsi="Times New Roman" w:cs="Times New Roman"/>
              <w:color w:val="auto"/>
              <w:highlight w:val="none"/>
            </w:rPr>
            <w:t xml:space="preserve">第六章 合同主要条款</w:t>
          </w:r>
          <w:r>
            <w:rPr>
              <w:rFonts w:hint="default" w:ascii="Times New Roman" w:hAnsi="Times New Roman" w:cs="Times New Roman"/>
              <w:highlight w:val="none"/>
            </w:rPr>
            <w:fldChar w:fldCharType="end"/>
          </w:r>
          <w:r/>
        </w:p>
        <w:p>
          <w:pPr>
            <w:rPr>
              <w:rFonts w:hint="default" w:ascii="Times New Roman" w:hAnsi="Times New Roman" w:cs="Times New Roman"/>
              <w:highlight w:val="none"/>
            </w:rPr>
          </w:pPr>
          <w:r>
            <w:rPr>
              <w:rFonts w:hint="default" w:ascii="Times New Roman" w:hAnsi="Times New Roman" w:cs="Times New Roman"/>
              <w:b/>
              <w:bCs/>
              <w:highlight w:val="none"/>
              <w:lang w:val="zh-CN"/>
            </w:rPr>
            <w:fldChar w:fldCharType="end"/>
          </w:r>
          <w:r/>
        </w:p>
      </w:sdtContent>
    </w:sdt>
    <w:p>
      <w:pPr>
        <w:pStyle w:val="821"/>
        <w:ind w:left="0"/>
        <w:jc w:val="both"/>
        <w:spacing w:before="0" w:line="360" w:lineRule="auto"/>
        <w:rPr>
          <w:rFonts w:hint="default" w:ascii="Times New Roman" w:hAnsi="Times New Roman" w:cs="Times New Roman"/>
          <w:sz w:val="21"/>
          <w:highlight w:val="none"/>
        </w:rPr>
        <w:sectPr>
          <w:footerReference w:type="default" r:id="rId11"/>
          <w:footnotePr/>
          <w:endnotePr/>
          <w:type w:val="nextPage"/>
          <w:pgSz w:w="11910" w:h="16840" w:orient="portrait"/>
          <w:pgMar w:top="1361" w:right="1304" w:bottom="1304" w:left="1361" w:header="0" w:footer="850" w:gutter="0"/>
          <w:cols w:num="1" w:sep="0" w:space="720" w:equalWidth="1"/>
          <w:docGrid w:linePitch="360"/>
        </w:sectPr>
      </w:pPr>
      <w:r>
        <w:rPr>
          <w:rFonts w:hint="default" w:ascii="Times New Roman" w:hAnsi="Times New Roman" w:cs="Times New Roman"/>
          <w:sz w:val="21"/>
          <w:highlight w:val="none"/>
        </w:rPr>
      </w:r>
      <w:r/>
    </w:p>
    <w:p>
      <w:pPr>
        <w:pStyle w:val="821"/>
        <w:ind w:left="0"/>
        <w:jc w:val="center"/>
        <w:spacing w:before="0" w:line="360" w:lineRule="auto"/>
        <w:rPr>
          <w:rFonts w:hint="default" w:ascii="Times New Roman" w:hAnsi="Times New Roman" w:cs="Times New Roman"/>
          <w:b/>
          <w:bCs/>
          <w:sz w:val="36"/>
          <w:szCs w:val="36"/>
          <w:highlight w:val="none"/>
        </w:rPr>
        <w:outlineLvl w:val="0"/>
      </w:pPr>
      <w:r/>
      <w:bookmarkStart w:id="0" w:name="OLE_LINK6"/>
      <w:r/>
      <w:bookmarkStart w:id="1" w:name="_Toc159507035"/>
      <w:r>
        <w:rPr>
          <w:rFonts w:hint="default" w:ascii="Times New Roman" w:hAnsi="Times New Roman" w:cs="Times New Roman"/>
          <w:b/>
          <w:bCs/>
          <w:sz w:val="36"/>
          <w:szCs w:val="36"/>
          <w:highlight w:val="none"/>
        </w:rPr>
        <w:t xml:space="preserve">第一章 </w:t>
      </w:r>
      <w:bookmarkStart w:id="2" w:name="OLE_LINK3"/>
      <w:r/>
      <w:bookmarkStart w:id="3" w:name="OLE_LINK5"/>
      <w:r/>
      <w:bookmarkStart w:id="4" w:name="OLE_LINK4"/>
      <w:r>
        <w:rPr>
          <w:rFonts w:hint="default" w:ascii="Times New Roman" w:hAnsi="Times New Roman" w:cs="Times New Roman"/>
          <w:b/>
          <w:bCs/>
          <w:sz w:val="36"/>
          <w:szCs w:val="36"/>
          <w:highlight w:val="none"/>
        </w:rPr>
        <w:t xml:space="preserve">招标公告</w:t>
      </w:r>
      <w:bookmarkEnd w:id="0"/>
      <w:r/>
      <w:bookmarkEnd w:id="1"/>
      <w:r/>
      <w:bookmarkEnd w:id="2"/>
      <w:r/>
      <w:bookmarkEnd w:id="3"/>
      <w:r/>
      <w:bookmarkEnd w:id="4"/>
      <w:r/>
      <w:r/>
    </w:p>
    <w:p>
      <w:pPr>
        <w:ind w:firstLine="482"/>
        <w:spacing w:line="360" w:lineRule="auto"/>
        <w:shd w:val="clear" w:color="auto" w:fill="ffffff"/>
        <w:rPr>
          <w:rFonts w:hint="eastAsia" w:asciiTheme="minorEastAsia" w:hAnsiTheme="minorEastAsia" w:eastAsiaTheme="minorEastAsia" w:cstheme="minorEastAsia"/>
          <w:b/>
          <w:sz w:val="24"/>
          <w:szCs w:val="24"/>
          <w:highlight w:val="none"/>
        </w:rPr>
      </w:pPr>
      <w:r/>
      <w:bookmarkStart w:id="5" w:name="OLE_LINK1"/>
      <w:r>
        <w:rPr>
          <w:rFonts w:hint="eastAsia" w:asciiTheme="minorEastAsia" w:hAnsiTheme="minorEastAsia" w:eastAsiaTheme="minorEastAsia" w:cstheme="minorEastAsia"/>
          <w:b/>
          <w:sz w:val="24"/>
          <w:szCs w:val="24"/>
          <w:highlight w:val="none"/>
        </w:rPr>
        <w:t xml:space="preserve">项目概况</w:t>
      </w:r>
      <w:r/>
    </w:p>
    <w:p>
      <w:pPr>
        <w:ind w:firstLine="480"/>
        <w:spacing w:line="360" w:lineRule="auto"/>
        <w:shd w:val="clear" w:color="auto" w:fill="ffff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太仓市实验高级中学安保服务项目的潜在投标人应在“苏采云政府采购一体化平台”中参与项目并下载获取招标文件，并于</w:t>
      </w:r>
      <w:r>
        <w:rPr>
          <w:rFonts w:hint="eastAsia" w:asciiTheme="minorEastAsia" w:hAnsiTheme="minorEastAsia" w:eastAsiaTheme="minorEastAsia" w:cstheme="minorEastAsia"/>
          <w:sz w:val="24"/>
          <w:szCs w:val="24"/>
          <w:highlight w:val="none"/>
          <w:lang w:eastAsia="zh-CN"/>
        </w:rPr>
        <w:t xml:space="preserve">2026</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1月30日</w:t>
      </w:r>
      <w:r>
        <w:rPr>
          <w:rFonts w:hint="eastAsia" w:asciiTheme="minorEastAsia" w:hAnsiTheme="minorEastAsia" w:eastAsiaTheme="minorEastAsia" w:cstheme="minorEastAsia"/>
          <w:sz w:val="24"/>
          <w:szCs w:val="24"/>
          <w:highlight w:val="none"/>
        </w:rPr>
        <w:t xml:space="preserve">上午09：30时（北京时间）前上传电子投标文件。</w:t>
      </w:r>
      <w:r/>
    </w:p>
    <w:p>
      <w:pPr>
        <w:ind w:firstLine="482"/>
        <w:spacing w:line="360" w:lineRule="auto"/>
        <w:shd w:val="clear" w:color="auto" w:fill="ffff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一、项目基本情况</w:t>
      </w:r>
      <w:r/>
    </w:p>
    <w:p>
      <w:pPr>
        <w:ind w:firstLine="480"/>
        <w:spacing w:line="360" w:lineRule="auto"/>
        <w:shd w:val="clear" w:color="auto" w:fill="ffff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1、项目编号：</w:t>
      </w:r>
      <w:r>
        <w:rPr>
          <w:rFonts w:hint="eastAsia" w:asciiTheme="minorEastAsia" w:hAnsiTheme="minorEastAsia" w:eastAsiaTheme="minorEastAsia" w:cstheme="minorEastAsia"/>
          <w:sz w:val="24"/>
          <w:szCs w:val="24"/>
          <w:highlight w:val="none"/>
          <w:lang w:eastAsia="zh-CN"/>
        </w:rPr>
        <w:t xml:space="preserve">JSZC-320585-SUYT-G2026-0001</w:t>
      </w:r>
      <w:r/>
    </w:p>
    <w:p>
      <w:pPr>
        <w:ind w:firstLine="480"/>
        <w:spacing w:line="360" w:lineRule="auto"/>
        <w:shd w:val="clear" w:color="auto" w:fill="ffff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2、项目名称：太仓市实验高级中学安保服务</w:t>
      </w:r>
      <w:r/>
    </w:p>
    <w:p>
      <w:pPr>
        <w:ind w:firstLine="480"/>
        <w:spacing w:line="360" w:lineRule="auto"/>
        <w:shd w:val="clear" w:color="auto" w:fill="ffff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3、预算金额：人民币</w:t>
      </w:r>
      <w:r>
        <w:rPr>
          <w:rFonts w:hint="eastAsia" w:asciiTheme="minorEastAsia" w:hAnsiTheme="minorEastAsia" w:eastAsiaTheme="minorEastAsia" w:cstheme="minorEastAsia"/>
          <w:sz w:val="24"/>
          <w:szCs w:val="24"/>
          <w:highlight w:val="none"/>
          <w:lang w:eastAsia="zh-CN"/>
        </w:rPr>
        <w:t xml:space="preserve">112</w:t>
      </w:r>
      <w:r>
        <w:rPr>
          <w:rFonts w:hint="eastAsia" w:asciiTheme="minorEastAsia" w:hAnsiTheme="minorEastAsia" w:eastAsiaTheme="minorEastAsia" w:cstheme="minorEastAsia"/>
          <w:sz w:val="24"/>
          <w:szCs w:val="24"/>
          <w:highlight w:val="none"/>
        </w:rPr>
        <w:t xml:space="preserve">万元。</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4、最高限价：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人民币112万元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5、采购需求：主要负责校园日常秩序维护，安全保卫，校门口进出车辆及人员的管理、消防巡查、安全保卫的临时性工作及其他事宜。太仓市实验高级中学校区：门岗保安、宿舍保安。</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6、合同履行期限：12个月。</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7、本项目不接受联合体投标。</w:t>
      </w:r>
      <w:r/>
    </w:p>
    <w:p>
      <w:pPr>
        <w:ind w:firstLine="482"/>
        <w:spacing w:line="360" w:lineRule="auto"/>
        <w:shd w:val="clear" w:color="auto" w:fill="ffff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二、申请人的资格要求:</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（一）满足《中华人民共和国政府采购法》第二十二条规定：</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1、具有独立承担民事责任的能力（提供法人或者其他组织的营业执照等证明文件，自然人的身份证明）</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2、具有良好的商业信誉和健全的财务会计制度（提供最近一期的财务状况报告，其他组织、自然人提供银行出具的资信证明）</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bookmarkStart w:id="6" w:name="OLE_LINK8"/>
      <w:r/>
      <w:bookmarkStart w:id="7" w:name="OLE_LINK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具有履行合同所必需的设备和专业技术能力（①本项目总配置人力数不少于20人，其中保安员不得少于12人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含1名主校门女性门岗保安员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，宿管保安不少于8人（宿管保安均为女性），提供保安员证扫描件加盖投标单位公章。②至少有2名人员具有中级消防设施操作员证书，提供对应投入人员的消防设施操作证扫描件并加盖投标单位公章。③至少有</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名人员</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同时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具有</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高压及低压</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电工证，提供对应投入人员的电工证扫描件并加盖投标单位公章。）</w:t>
      </w:r>
      <w:bookmarkEnd w:id="6"/>
      <w:r/>
      <w:bookmarkEnd w:id="7"/>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6、法律、行政法规规定的其他条件；</w:t>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（二）落实政府采购政策需满足的资格要求：</w:t>
      </w:r>
      <w:bookmarkStart w:id="8" w:name="OLE_LINK2"/>
      <w:r/>
      <w:bookmarkStart w:id="9" w:name="OLE_LINK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bookmarkEnd w:id="8"/>
      <w:r/>
      <w:bookmarkEnd w:id="9"/>
      <w:r/>
      <w:r/>
    </w:p>
    <w:p>
      <w:pPr>
        <w:ind w:firstLine="480"/>
        <w:spacing w:line="360" w:lineRule="auto"/>
        <w:shd w:val="clear" w:color="auto" w:fill="ffff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（三）本项目的特定资格要求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ind w:firstLine="480"/>
        <w:spacing w:line="360" w:lineRule="auto"/>
        <w:shd w:val="clear" w:color="auto" w:fill="ffff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、投标单位须具备江苏省级公安厅颁发的《保安服务许可证》，非苏州地区的投标单位须在苏州市公安机关进行备案后方可参加投标</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w:t>
      </w:r>
      <w:r/>
    </w:p>
    <w:p>
      <w:pPr>
        <w:ind w:firstLine="420"/>
        <w:spacing w:line="360" w:lineRule="auto"/>
        <w:shd w:val="clear" w:color="auto" w:fill="ffffff"/>
        <w:widowControl w:val="off"/>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未被“信用中国”网站（www.creditchina.gov.cn）列入失信被执行人、重大税收违法案件当</w:t>
      </w:r>
      <w:r>
        <w:rPr>
          <w:rFonts w:hint="eastAsia" w:asciiTheme="minorEastAsia" w:hAnsiTheme="minorEastAsia" w:eastAsiaTheme="minorEastAsia" w:cstheme="minorEastAsia"/>
          <w:b/>
          <w:bCs/>
          <w:color w:val="auto"/>
          <w:sz w:val="24"/>
          <w:szCs w:val="24"/>
          <w:highlight w:val="none"/>
          <w:lang w:val="zh-CN"/>
        </w:rPr>
        <w:t xml:space="preserve">事人名单、政府采购严重失信行为记录名单。</w:t>
      </w:r>
      <w:r/>
    </w:p>
    <w:p>
      <w:pPr>
        <w:ind w:firstLine="480"/>
        <w:spacing w:line="360" w:lineRule="auto"/>
        <w:shd w:val="clear" w:color="auto" w:fill="ffff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（四）拒绝下述供应商参加本次采购活动：</w:t>
      </w:r>
      <w:r/>
    </w:p>
    <w:p>
      <w:pPr>
        <w:ind w:firstLine="480"/>
        <w:spacing w:line="360" w:lineRule="auto"/>
        <w:shd w:val="clear" w:color="auto" w:fill="ffff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shd w:val="clear" w:color="auto" w:fill="ffff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3、法人的分支机构不得参加投标（除银行、保险、石油石化、电力、电信等行业特殊情况外）</w:t>
      </w:r>
      <w:r/>
    </w:p>
    <w:p>
      <w:pPr>
        <w:ind w:firstLine="480"/>
        <w:spacing w:line="360" w:lineRule="auto"/>
        <w:shd w:val="clear" w:color="auto" w:fill="ffff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三、投标报名及获取招标文件</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1、依法获取电子招标文件：投标人在2026年1月</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lang w:val="zh-CN"/>
        </w:rPr>
        <w:t xml:space="preserve">日至2026年1月1</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val="zh-CN"/>
        </w:rPr>
        <w:t xml:space="preserve">日，进入</w:t>
      </w:r>
      <w:r>
        <w:rPr>
          <w:rFonts w:hint="eastAsia" w:asciiTheme="minorEastAsia" w:hAnsiTheme="minorEastAsia" w:eastAsiaTheme="minorEastAsia" w:cstheme="minorEastAsia"/>
          <w:sz w:val="24"/>
          <w:szCs w:val="24"/>
          <w:highlight w:val="none"/>
        </w:rPr>
        <w:t xml:space="preserve">苏州市政府采购网，点击底部苏采云图标，登录苏采云政府采购一体化平台，对参与项目进行报名，并自行下载电子招标文件</w:t>
      </w:r>
      <w:r>
        <w:rPr>
          <w:rFonts w:hint="eastAsia" w:asciiTheme="minorEastAsia" w:hAnsiTheme="minorEastAsia" w:eastAsiaTheme="minorEastAsia" w:cstheme="minorEastAsia"/>
          <w:sz w:val="24"/>
          <w:szCs w:val="24"/>
          <w:highlight w:val="none"/>
          <w:lang w:val="zh-CN"/>
        </w:rPr>
        <w:t xml:space="preserve">。只有依法获取招标文件的供应商才能参加本项目的投标活动。下载电子招标文件日期视同为依法获取采购文件日期。</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2、获取方式：网上下载电子招标文件。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3、本项目免费下载电子招标文件。</w:t>
      </w:r>
      <w:r/>
    </w:p>
    <w:p>
      <w:pPr>
        <w:ind w:firstLine="482"/>
        <w:spacing w:line="360" w:lineRule="auto"/>
        <w:shd w:val="clear" w:color="auto" w:fill="ffffff"/>
        <w:rPr>
          <w:rFonts w:hint="eastAsia" w:asciiTheme="minorEastAsia" w:hAnsiTheme="minorEastAsia" w:eastAsiaTheme="minorEastAsia" w:cstheme="minorEastAsia"/>
          <w:b/>
          <w:bCs/>
          <w:sz w:val="24"/>
          <w:szCs w:val="24"/>
          <w:highlight w:val="none"/>
          <w:lang w:val="zh-CN"/>
        </w:rPr>
      </w:pPr>
      <w:r>
        <w:rPr>
          <w:rFonts w:hint="eastAsia" w:asciiTheme="minorEastAsia" w:hAnsiTheme="minorEastAsia" w:eastAsiaTheme="minorEastAsia" w:cstheme="minorEastAsia"/>
          <w:b/>
          <w:bCs/>
          <w:sz w:val="24"/>
          <w:szCs w:val="24"/>
          <w:highlight w:val="none"/>
          <w:lang w:val="zh-CN"/>
        </w:rPr>
        <w:t xml:space="preserve">四、提交投标文件截止时间、开标时间和地点</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1、加密的电子投标文件上传截止时间：2026年</w:t>
      </w:r>
      <w:r>
        <w:rPr>
          <w:rFonts w:hint="eastAsia" w:asciiTheme="minorEastAsia" w:hAnsiTheme="minorEastAsia" w:eastAsiaTheme="minorEastAsia" w:cstheme="minorEastAsia"/>
          <w:sz w:val="24"/>
          <w:szCs w:val="24"/>
          <w:highlight w:val="none"/>
          <w:lang w:val="en-US" w:eastAsia="zh-CN"/>
        </w:rPr>
        <w:t xml:space="preserve">1月30日09</w:t>
      </w:r>
      <w:r>
        <w:rPr>
          <w:rFonts w:hint="eastAsia" w:asciiTheme="minorEastAsia" w:hAnsiTheme="minorEastAsia" w:eastAsiaTheme="minorEastAsia" w:cstheme="minorEastAsia"/>
          <w:sz w:val="24"/>
          <w:szCs w:val="24"/>
          <w:highlight w:val="none"/>
          <w:lang w:val="zh-CN"/>
        </w:rPr>
        <w:t xml:space="preserve">点</w:t>
      </w:r>
      <w:r>
        <w:rPr>
          <w:rFonts w:hint="eastAsia" w:asciiTheme="minorEastAsia" w:hAnsiTheme="minorEastAsia" w:eastAsiaTheme="minorEastAsia" w:cstheme="minorEastAsia"/>
          <w:sz w:val="24"/>
          <w:szCs w:val="24"/>
          <w:highlight w:val="none"/>
          <w:lang w:val="en-US" w:eastAsia="zh-CN"/>
        </w:rPr>
        <w:t xml:space="preserve">30</w:t>
      </w:r>
      <w:r>
        <w:rPr>
          <w:rFonts w:hint="eastAsia" w:asciiTheme="minorEastAsia" w:hAnsiTheme="minorEastAsia" w:eastAsiaTheme="minorEastAsia" w:cstheme="minorEastAsia"/>
          <w:sz w:val="24"/>
          <w:szCs w:val="24"/>
          <w:highlight w:val="none"/>
          <w:lang w:val="zh-CN"/>
        </w:rPr>
        <w:t xml:space="preserve">分（北京时间），投标人登录苏采云政府采购一体化平台，进入“参与详情”页面，上传电子投标文件。</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注：考虑网络上传速度因素，请投标供应商适当提前上传电子投标文件。</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2、开标时间：2026年1月30</w:t>
      </w:r>
      <w:r>
        <w:rPr>
          <w:rFonts w:hint="eastAsia" w:asciiTheme="minorEastAsia" w:hAnsiTheme="minorEastAsia" w:eastAsiaTheme="minorEastAsia" w:cstheme="minorEastAsia"/>
          <w:sz w:val="24"/>
          <w:szCs w:val="24"/>
          <w:highlight w:val="none"/>
          <w:lang w:val="zh-CN"/>
        </w:rPr>
        <w:t xml:space="preserve">日</w:t>
      </w:r>
      <w:r>
        <w:rPr>
          <w:rFonts w:hint="eastAsia" w:asciiTheme="minorEastAsia" w:hAnsiTheme="minorEastAsia" w:eastAsiaTheme="minorEastAsia" w:cstheme="minorEastAsia"/>
          <w:sz w:val="24"/>
          <w:szCs w:val="24"/>
          <w:highlight w:val="none"/>
          <w:lang w:val="en-US" w:eastAsia="zh-CN"/>
        </w:rPr>
        <w:t xml:space="preserve">09</w:t>
      </w:r>
      <w:r>
        <w:rPr>
          <w:rFonts w:hint="eastAsia" w:asciiTheme="minorEastAsia" w:hAnsiTheme="minorEastAsia" w:eastAsiaTheme="minorEastAsia" w:cstheme="minorEastAsia"/>
          <w:sz w:val="24"/>
          <w:szCs w:val="24"/>
          <w:highlight w:val="none"/>
          <w:lang w:val="zh-CN"/>
        </w:rPr>
        <w:t xml:space="preserve">点3</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lang w:val="zh-CN"/>
        </w:rPr>
        <w:t xml:space="preserve">分（北京时间）</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3、开标地点：苏采云网上不见面开标大厅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4、现场地址： 太仓市陆渡街道万金北路88号4栋开标间</w:t>
      </w:r>
      <w:r/>
    </w:p>
    <w:p>
      <w:pPr>
        <w:ind w:firstLine="482"/>
        <w:spacing w:line="360" w:lineRule="auto"/>
        <w:shd w:val="clear" w:color="auto" w:fill="ffff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五、公告期限：</w:t>
      </w:r>
      <w:r/>
    </w:p>
    <w:p>
      <w:pPr>
        <w:ind w:firstLine="480"/>
        <w:spacing w:line="360" w:lineRule="auto"/>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自本公告发布之日起5个工作日。</w:t>
      </w:r>
      <w:r/>
    </w:p>
    <w:p>
      <w:pPr>
        <w:ind w:firstLine="482"/>
        <w:spacing w:line="360" w:lineRule="auto"/>
        <w:shd w:val="clear" w:color="auto" w:fill="ffff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六、其他补充事宜</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1、本项目需要使用CA数字证书制作、上传电子投标文件完成电子投标，请供应商在参加投标活动前办理好CA数字证书申领及电子签章等操作。</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、本项目采用不见面开标，投标人开标时无需到现场进行解密，采取网上开标大厅解密电子投标文件，投标人远程解密要求如下：</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2）投标人登录苏采云系统，点击开标大厅，选择开标项目，完成不见面开标流程。</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3）投标截止时间后根据系统提示解密电子投标文件。解密时间为 15 分钟，未在规定时间内完成解密，其投标文件将被拒绝，不参与后续投标流程。</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zh-CN"/>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val="zh-CN"/>
        </w:rPr>
        <w:t xml:space="preserve">、有关供应商注册、报名、下载电子招标文件、制作上传电子投标文件、不见面开标及其他注意事项登录苏州政府采购网，在“下载中心”栏目下载“苏采云系统供应商操作手册”查阅。</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lang w:val="zh-CN"/>
        </w:rPr>
        <w:t xml:space="preserve">、有关办理CA数字申领及电子签章事项，登录苏州政府采购网，点击页面底部苏采云图标，进入苏采云政府采购一体化平台，下载“新CA办理指南”文件查阅。</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lang w:val="zh-CN"/>
        </w:rPr>
        <w:t xml:space="preserve">、本项目为网上电子投标，中标人在领取中标通知书后需向招标代理机构额外提供与投标所报电子文件一致的纸质投标书4份。</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lang w:val="zh-CN"/>
        </w:rPr>
        <w:t xml:space="preserve">本公告有关信息将同时在江苏省政府采购网、苏州市政府采购网等政府采购指定的相关媒体上发布，敬请留意。</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9、标的所属行业 ：（十五）租赁和商务服务业</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lang w:val="zh-CN"/>
        </w:rPr>
        <w:t xml:space="preserve">、中标服务费：</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中标服务费按预算金额100万元以内1.5%、100～500万元1.1%、500～1000万元0.8%按差额定率累进法计算，该费用应在领取中标通知书前由中标供应商一次性支付给采购代理单位，该费用综合含在投标报价中。</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11、</w:t>
      </w:r>
      <w:r>
        <w:rPr>
          <w:rFonts w:hint="eastAsia" w:asciiTheme="minorEastAsia" w:hAnsiTheme="minorEastAsia" w:eastAsiaTheme="minorEastAsia" w:cstheme="minorEastAsia"/>
          <w:sz w:val="24"/>
          <w:szCs w:val="24"/>
          <w:highlight w:val="none"/>
          <w:lang w:val="zh-CN"/>
        </w:rPr>
        <w:t xml:space="preserve">招标投标保证金：本项目无须缴纳。</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12、</w:t>
      </w:r>
      <w:r>
        <w:rPr>
          <w:rFonts w:hint="eastAsia" w:asciiTheme="minorEastAsia" w:hAnsiTheme="minorEastAsia" w:eastAsiaTheme="minorEastAsia" w:cstheme="minorEastAsia"/>
          <w:sz w:val="24"/>
          <w:szCs w:val="24"/>
          <w:highlight w:val="none"/>
          <w:lang w:val="zh-CN"/>
        </w:rPr>
        <w:t xml:space="preserve">政府采购履约资金扶持政策</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中标供应商可凭政府采购合同办理融资贷款，详情请见江苏政府采购网‘政采贷’专栏”。</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13、</w:t>
      </w:r>
      <w:r>
        <w:rPr>
          <w:rFonts w:hint="eastAsia" w:asciiTheme="minorEastAsia" w:hAnsiTheme="minorEastAsia" w:eastAsiaTheme="minorEastAsia" w:cstheme="minorEastAsia"/>
          <w:sz w:val="24"/>
          <w:szCs w:val="24"/>
          <w:highlight w:val="none"/>
          <w:lang w:val="zh-CN"/>
        </w:rPr>
        <w:t xml:space="preserve">有关电子投标制作技术疑问，请咨询苏采云软件公司客服：18261002950、0512-69820854、0519-86722802</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14</w:t>
      </w:r>
      <w:r>
        <w:rPr>
          <w:rFonts w:hint="eastAsia" w:asciiTheme="minorEastAsia" w:hAnsiTheme="minorEastAsia" w:eastAsiaTheme="minorEastAsia" w:cstheme="minorEastAsia"/>
          <w:sz w:val="24"/>
          <w:szCs w:val="24"/>
          <w:highlight w:val="none"/>
          <w:lang w:val="zh-CN"/>
        </w:rPr>
        <w:t xml:space="preserve">、政府采购监督电话：0512-53512539</w:t>
      </w:r>
      <w:r/>
    </w:p>
    <w:p>
      <w:pPr>
        <w:ind w:firstLine="482"/>
        <w:spacing w:line="360" w:lineRule="auto"/>
        <w:shd w:val="clear" w:color="auto" w:fill="ffff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七、对本次招标提出询问，请按以下方式联系</w:t>
      </w:r>
      <w:r/>
    </w:p>
    <w:p>
      <w:pPr>
        <w:ind w:firstLine="48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1、采购人信息：</w:t>
      </w:r>
      <w:r/>
    </w:p>
    <w:p>
      <w:pPr>
        <w:ind w:firstLine="480"/>
        <w:spacing w:line="360" w:lineRule="auto"/>
        <w:widowControl/>
        <w:rPr>
          <w:rFonts w:hint="eastAsia" w:asciiTheme="minorEastAsia" w:hAnsiTheme="minorEastAsia" w:eastAsiaTheme="minorEastAsia" w:cstheme="minorEastAsia"/>
          <w:sz w:val="24"/>
          <w:szCs w:val="24"/>
          <w:highlight w:val="none"/>
        </w:rPr>
      </w:pPr>
      <w:r/>
      <w:bookmarkStart w:id="10" w:name="_Hlk136250317"/>
      <w:r>
        <w:rPr>
          <w:rFonts w:hint="eastAsia" w:asciiTheme="minorEastAsia" w:hAnsiTheme="minorEastAsia" w:eastAsiaTheme="minorEastAsia" w:cstheme="minorEastAsia"/>
          <w:sz w:val="24"/>
          <w:szCs w:val="24"/>
          <w:highlight w:val="none"/>
        </w:rPr>
        <w:t xml:space="preserve">名    称：太仓市实验高级中学</w:t>
      </w:r>
      <w:r/>
    </w:p>
    <w:p>
      <w:pPr>
        <w:ind w:firstLine="48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地    址：</w:t>
      </w:r>
      <w:r>
        <w:rPr>
          <w:rFonts w:hint="eastAsia" w:asciiTheme="minorEastAsia" w:hAnsiTheme="minorEastAsia" w:eastAsiaTheme="minorEastAsia" w:cstheme="minorEastAsia"/>
          <w:sz w:val="24"/>
          <w:szCs w:val="24"/>
          <w:highlight w:val="none"/>
          <w:lang w:eastAsia="zh-CN"/>
        </w:rPr>
        <w:t xml:space="preserve">太仓市上海东路688号 </w:t>
      </w:r>
      <w:r/>
    </w:p>
    <w:p>
      <w:pPr>
        <w:ind w:firstLine="48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联系方式：</w:t>
      </w:r>
      <w:bookmarkEnd w:id="10"/>
      <w:r>
        <w:rPr>
          <w:rFonts w:hint="eastAsia" w:asciiTheme="minorEastAsia" w:hAnsiTheme="minorEastAsia" w:eastAsiaTheme="minorEastAsia" w:cstheme="minorEastAsia"/>
          <w:sz w:val="24"/>
          <w:szCs w:val="24"/>
          <w:highlight w:val="none"/>
        </w:rPr>
        <w:t xml:space="preserve">邱桃</w:t>
      </w:r>
      <w:r>
        <w:rPr>
          <w:rFonts w:hint="eastAsia" w:asciiTheme="minorEastAsia" w:hAnsiTheme="minorEastAsia" w:eastAsiaTheme="minorEastAsia" w:cstheme="minorEastAsia"/>
          <w:sz w:val="24"/>
          <w:szCs w:val="24"/>
          <w:highlight w:val="none"/>
          <w:lang w:eastAsia="zh-CN"/>
        </w:rPr>
        <w:t xml:space="preserve">19851285561</w:t>
      </w:r>
      <w:r/>
    </w:p>
    <w:p>
      <w:pPr>
        <w:ind w:firstLine="48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、采购代理机构信息：</w:t>
      </w:r>
      <w:r/>
    </w:p>
    <w:p>
      <w:pPr>
        <w:ind w:firstLine="48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eastAsia="zh-CN"/>
        </w:rPr>
        <w:t xml:space="preserve">苏州一投建设发展有限公司</w:t>
      </w:r>
      <w:r/>
    </w:p>
    <w:p>
      <w:pPr>
        <w:ind w:firstLine="48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地    址：</w:t>
      </w:r>
      <w:r>
        <w:rPr>
          <w:rFonts w:hint="eastAsia" w:asciiTheme="minorEastAsia" w:hAnsiTheme="minorEastAsia" w:eastAsiaTheme="minorEastAsia" w:cstheme="minorEastAsia"/>
          <w:sz w:val="24"/>
          <w:szCs w:val="24"/>
          <w:highlight w:val="none"/>
          <w:lang w:eastAsia="zh-CN"/>
        </w:rPr>
        <w:t xml:space="preserve">太仓市发展大厦1#401</w:t>
      </w:r>
      <w:r/>
    </w:p>
    <w:p>
      <w:pPr>
        <w:ind w:firstLine="48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eastAsia="zh-CN"/>
        </w:rPr>
        <w:t xml:space="preserve">沈亚 13913788808</w:t>
      </w:r>
      <w:r/>
    </w:p>
    <w:p>
      <w:pPr>
        <w:ind w:firstLine="48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48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eastAsia="zh-CN"/>
        </w:rPr>
        <w:t xml:space="preserve">沈亚</w:t>
      </w:r>
      <w:r/>
    </w:p>
    <w:p>
      <w:pPr>
        <w:ind w:firstLine="480"/>
        <w:spacing w:line="360" w:lineRule="auto"/>
        <w:widowControl/>
        <w:rPr>
          <w:rFonts w:hint="eastAsia" w:asciiTheme="minorEastAsia" w:hAnsiTheme="minorEastAsia" w:eastAsiaTheme="minorEastAsia" w:cstheme="minorEastAsia"/>
          <w:sz w:val="24"/>
          <w:szCs w:val="24"/>
          <w:highlight w:val="none"/>
          <w:lang w:eastAsia="zh-CN"/>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int="eastAsia" w:asciiTheme="minorEastAsia" w:hAnsiTheme="minorEastAsia" w:eastAsiaTheme="minorEastAsia" w:cstheme="minorEastAsia"/>
          <w:sz w:val="24"/>
          <w:szCs w:val="24"/>
          <w:highlight w:val="none"/>
        </w:rPr>
        <w:t xml:space="preserve">电     话：</w:t>
      </w:r>
      <w:r>
        <w:rPr>
          <w:rFonts w:hint="eastAsia" w:asciiTheme="minorEastAsia" w:hAnsiTheme="minorEastAsia" w:eastAsiaTheme="minorEastAsia" w:cstheme="minorEastAsia"/>
          <w:sz w:val="24"/>
          <w:szCs w:val="24"/>
          <w:highlight w:val="none"/>
          <w:lang w:eastAsia="zh-CN"/>
        </w:rPr>
        <w:t xml:space="preserve">13913788808</w:t>
      </w:r>
      <w:bookmarkEnd w:id="5"/>
      <w:r/>
      <w:r/>
    </w:p>
    <w:p>
      <w:pPr>
        <w:jc w:val="center"/>
        <w:spacing w:line="360" w:lineRule="auto"/>
        <w:rPr>
          <w:rFonts w:hint="default" w:ascii="Times New Roman" w:hAnsi="Times New Roman" w:cs="Times New Roman"/>
          <w:b/>
          <w:bCs/>
          <w:sz w:val="36"/>
          <w:szCs w:val="36"/>
          <w:highlight w:val="none"/>
        </w:rPr>
        <w:outlineLvl w:val="0"/>
      </w:pPr>
      <w:r/>
      <w:bookmarkStart w:id="11" w:name="_Toc159507036"/>
      <w:r>
        <w:rPr>
          <w:rFonts w:hint="default" w:ascii="Times New Roman" w:hAnsi="Times New Roman" w:cs="Times New Roman"/>
          <w:b/>
          <w:bCs/>
          <w:sz w:val="36"/>
          <w:szCs w:val="36"/>
          <w:highlight w:val="none"/>
        </w:rPr>
        <w:t xml:space="preserve">第二章 投标人须知</w:t>
      </w:r>
      <w:bookmarkEnd w:id="11"/>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一、说明和释义</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1、说明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1.1 本招标文件仅适用于</w:t>
      </w:r>
      <w:r>
        <w:rPr>
          <w:rFonts w:hint="eastAsia" w:asciiTheme="minorEastAsia" w:hAnsiTheme="minorEastAsia" w:eastAsiaTheme="minorEastAsia" w:cstheme="minorEastAsia"/>
          <w:b w:val="0"/>
          <w:bCs w:val="0"/>
          <w:sz w:val="24"/>
          <w:szCs w:val="24"/>
          <w:highlight w:val="none"/>
          <w:lang w:eastAsia="zh-CN"/>
        </w:rPr>
        <w:t xml:space="preserve">苏州一投建设发展有限公司</w:t>
      </w:r>
      <w:r>
        <w:rPr>
          <w:rFonts w:hint="eastAsia" w:asciiTheme="minorEastAsia" w:hAnsiTheme="minorEastAsia" w:eastAsiaTheme="minorEastAsia" w:cstheme="minorEastAsia"/>
          <w:b w:val="0"/>
          <w:bCs w:val="0"/>
          <w:sz w:val="24"/>
          <w:szCs w:val="24"/>
          <w:highlight w:val="none"/>
        </w:rPr>
        <w:t xml:space="preserve">组织的招标活动。</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1.2 本次招标活动及因本次招标产生的合同受中国法律制约和保护。</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1.3 本招标文件的解释权属于</w:t>
      </w:r>
      <w:r>
        <w:rPr>
          <w:rFonts w:hint="eastAsia" w:asciiTheme="minorEastAsia" w:hAnsiTheme="minorEastAsia" w:eastAsiaTheme="minorEastAsia" w:cstheme="minorEastAsia"/>
          <w:b w:val="0"/>
          <w:bCs w:val="0"/>
          <w:sz w:val="24"/>
          <w:szCs w:val="24"/>
          <w:highlight w:val="none"/>
          <w:lang w:eastAsia="zh-CN"/>
        </w:rPr>
        <w:t xml:space="preserve">苏州一投建设发展有限公司</w:t>
      </w:r>
      <w:r>
        <w:rPr>
          <w:rFonts w:hint="eastAsia" w:asciiTheme="minorEastAsia" w:hAnsiTheme="minorEastAsia" w:eastAsiaTheme="minorEastAsia" w:cstheme="minorEastAsia"/>
          <w:b w:val="0"/>
          <w:bCs w:val="0"/>
          <w:sz w:val="24"/>
          <w:szCs w:val="24"/>
          <w:highlight w:val="none"/>
        </w:rPr>
        <w:t xml:space="preserve">。</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2、词语释义</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z w:val="24"/>
          <w:szCs w:val="24"/>
          <w:highlight w:val="none"/>
        </w:rPr>
        <w:t xml:space="preserve">2.1 </w:t>
      </w:r>
      <w:r>
        <w:rPr>
          <w:rFonts w:hint="eastAsia" w:asciiTheme="minorEastAsia" w:hAnsiTheme="minorEastAsia" w:eastAsiaTheme="minorEastAsia" w:cstheme="minorEastAsia"/>
          <w:b w:val="0"/>
          <w:bCs w:val="0"/>
          <w:spacing w:val="-3"/>
          <w:sz w:val="24"/>
          <w:szCs w:val="24"/>
          <w:highlight w:val="none"/>
        </w:rPr>
        <w:t xml:space="preserve">采购人：指依法进行政府采购的国家机关、事业单位、团体组织。</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2.2 供应商：指向采购人提供货物、工程或服务的法人、其他组织或者自然人。</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2.3 投标人：指参加政府采购货物服务投标活动的供应商。</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2.4 采购代理机构：指依法接受采购人委托，从事货物、工程和服务等政府采购招标代理业务的社会中介机构。</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2.5 招标采购单位：采购人及采购代理机构的统称。</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2.7 响应：投标人根据采购人或采购代理机构发售的招标文件，编制投标文件并按规定投标的行为。</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2.8 知识产权：指专利权、商标权、著作权等无形财产专有权的统称。</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2.9 天：日历日。</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2.10 合同：采供双方根据招标文件和中标的投标文件及中标通知书规定的内容签署的以书面形式所达成的协议，包括所有的附件、附录和构成协议的所有文件。</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2.11 合同价款：根据合同规定，乙方在正确地履行合同义务后甲方应支付乙方的价款。</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2.12 货物：系指乙方按招标采购文件规定，应向甲方提供的一切设备、备品、备件、工具、手册及其它有关技术资料和材料。</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2.13 服务：系指本次招标采购文件规定乙方应承担的与提供货物和服务有关的辅助服务，比如运输、保险、安装、调试、验收、提供技术援助、培训、配合措施、维修响应及合同中规定乙方应承担的其它义务。</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2.15 交货地点：合同中明确约定的乙方提交的货物最终地点。</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2.16 不可抗力：不能预见、不能避免并且不能克服的客观情况。</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2.18 实质性响应：满足有关本次采购标的、数量、质量、价款或者报酬、履行期限、履行地点和方式、违约责任和解决争议方法等要求。</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2.19 进口产品：通过中国海关报关验放进入中国境内且产自关境外的产品。</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2.20 书面形式：指书面文字、合同书、信件和传真等可有形地表现所载内容的形式。</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二、投标人</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3、合格投标人的范围</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z w:val="24"/>
          <w:szCs w:val="24"/>
          <w:highlight w:val="none"/>
        </w:rPr>
        <w:t xml:space="preserve">3.1 </w:t>
      </w:r>
      <w:r>
        <w:rPr>
          <w:rFonts w:hint="eastAsia" w:asciiTheme="minorEastAsia" w:hAnsiTheme="minorEastAsia" w:eastAsiaTheme="minorEastAsia" w:cstheme="minorEastAsia"/>
          <w:b w:val="0"/>
          <w:bCs w:val="0"/>
          <w:spacing w:val="-3"/>
          <w:sz w:val="24"/>
          <w:szCs w:val="24"/>
          <w:highlight w:val="none"/>
        </w:rPr>
        <w:t xml:space="preserve">符合《中华人民共和国政府采购法》第二十二条第一款之规定。</w:t>
      </w:r>
      <w:r/>
    </w:p>
    <w:p>
      <w:pPr>
        <w:pStyle w:val="810"/>
        <w:ind w:left="0" w:firstLine="420"/>
        <w:jc w:val="both"/>
        <w:spacing w:line="360" w:lineRule="auto"/>
        <w:rPr>
          <w:rFonts w:hint="eastAsia" w:asciiTheme="minorEastAsia" w:hAnsiTheme="minorEastAsia" w:eastAsiaTheme="minorEastAsia" w:cstheme="minorEastAsia"/>
          <w:b w:val="0"/>
          <w:bCs w:val="0"/>
          <w:spacing w:val="-3"/>
          <w:sz w:val="24"/>
          <w:szCs w:val="24"/>
          <w:highlight w:val="none"/>
        </w:rPr>
      </w:pPr>
      <w:r>
        <w:rPr>
          <w:rFonts w:hint="eastAsia" w:asciiTheme="minorEastAsia" w:hAnsiTheme="minorEastAsia" w:eastAsiaTheme="minorEastAsia" w:cstheme="minorEastAsia"/>
          <w:b w:val="0"/>
          <w:bCs w:val="0"/>
          <w:spacing w:val="-3"/>
          <w:sz w:val="24"/>
          <w:szCs w:val="24"/>
          <w:highlight w:val="none"/>
        </w:rPr>
        <w:t xml:space="preserve">3.2 满足本文件实质性条款的规定。</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4、合格投标人的特定条件</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4.1 </w:t>
      </w:r>
      <w:r>
        <w:rPr>
          <w:rFonts w:hint="eastAsia" w:asciiTheme="minorEastAsia" w:hAnsiTheme="minorEastAsia" w:eastAsiaTheme="minorEastAsia" w:cstheme="minorEastAsia"/>
          <w:b w:val="0"/>
          <w:bCs w:val="0"/>
          <w:spacing w:val="-3"/>
          <w:sz w:val="24"/>
          <w:szCs w:val="24"/>
          <w:highlight w:val="none"/>
        </w:rPr>
        <w:t xml:space="preserve">详见招标公告规定。</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5、投标委托</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5.1 指全权代表投标人参加投标活动并签署投标文件的人，如果投标人代表不是法定代表人代表， 须持有《法定代表人代表授权委托书》（详见统一格式）。</w:t>
      </w:r>
      <w:r/>
    </w:p>
    <w:p>
      <w:pPr>
        <w:pStyle w:val="810"/>
        <w:ind w:left="0" w:firstLine="42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highlight w:val="none"/>
        </w:rPr>
        <w:t xml:space="preserve">5.2招标文件中如明确要求允许法人的分支机构参加投标的，招标文件中所述法定代表人均指该投标人的负责人。</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6、投标费用</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6.1 无论投标过程的做法和结果如何,投标人自行承担所有与参加投标有关的全部费用。</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.2 本次招标项目按招标公告标准收取中标服务费，评委费按实另计；请投标人在投标时充分考虑这一因素。</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7、联合投标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7.1 本项目不接受联合投标。</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三、招标文件的说明 </w:t>
      </w:r>
      <w:r/>
    </w:p>
    <w:p>
      <w:pPr>
        <w:ind w:firstLine="422"/>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8. 招标文件</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8.2招标文件及其更正文件不是直接从采购代理机构或指定媒体获得的，采购代理机构对招标文件及其补遗的真实性、完整性不承担任何责任。</w:t>
      </w:r>
      <w:r/>
    </w:p>
    <w:p>
      <w:pPr>
        <w:ind w:firstLine="422"/>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9. 招标文件的澄清</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 任何要求对招标文件进行澄清的投标人，均应在投标截止时间十五天前以书面形式（如信件、传真、邮件等）将澄清要求送达招标代理机构。</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10.招标文件的修改</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10.1采购代理机构无论出于自己的考虑，还是出于对投标人提问的澄清，均可对已发出的招标文件用</w:t>
      </w:r>
      <w:r>
        <w:rPr>
          <w:rFonts w:hint="eastAsia" w:asciiTheme="minorEastAsia" w:hAnsiTheme="minorEastAsia" w:eastAsiaTheme="minorEastAsia" w:cstheme="minorEastAsia"/>
          <w:sz w:val="24"/>
          <w:szCs w:val="24"/>
          <w:lang w:val="zh-CN"/>
        </w:rPr>
        <w:t xml:space="preserve">补充文件的方式</w:t>
      </w:r>
      <w:r>
        <w:rPr>
          <w:rFonts w:hint="eastAsia" w:asciiTheme="minorEastAsia" w:hAnsiTheme="minorEastAsia" w:eastAsiaTheme="minorEastAsia" w:cstheme="minorEastAsia"/>
          <w:sz w:val="24"/>
          <w:szCs w:val="24"/>
        </w:rPr>
        <w:t xml:space="preserve">进行必要澄清或者修改。</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10.3招标文件的更正（含澄清、修改等）内容与原招标文件在同一内容上表述不一致时，以发出日期最接近开标时间的公告为准。</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10.5招标文件若有最新的答疑文件，投标供应商必须下载并使用该文件制作新的电子投标文件，否则将无法完成电子投标文件的上传及投标。</w:t>
      </w:r>
      <w:r/>
    </w:p>
    <w:p>
      <w:pPr>
        <w:ind w:firstLine="422"/>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11.质疑</w:t>
      </w:r>
      <w:r/>
    </w:p>
    <w:p>
      <w:pPr>
        <w:ind w:firstLine="420"/>
        <w:spacing w:line="360" w:lineRule="auto"/>
        <w:tabs>
          <w:tab w:val="left" w:pos="851"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spacing w:line="360" w:lineRule="auto"/>
        <w:tabs>
          <w:tab w:val="left" w:pos="851"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提出质疑的供应商应当是参与所质疑项目采购活动的供应商，未参加投标活动的供应商或在投标活动中自身权益未受到损害的供应商所提出的质疑不予受理。</w:t>
      </w:r>
      <w:r/>
    </w:p>
    <w:p>
      <w:pPr>
        <w:ind w:firstLine="420"/>
        <w:spacing w:line="360" w:lineRule="auto"/>
        <w:tabs>
          <w:tab w:val="left" w:pos="851"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11.3上述应知其权益受到损害之日是指：</w:t>
      </w:r>
      <w:r/>
    </w:p>
    <w:p>
      <w:pPr>
        <w:ind w:firstLine="420"/>
        <w:spacing w:line="360" w:lineRule="auto"/>
        <w:tabs>
          <w:tab w:val="left" w:pos="851"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11.3.1对采购文件提出质疑的，为获取采购文件或者采购文件公告期限届满之日起计算；</w:t>
      </w:r>
      <w:r/>
    </w:p>
    <w:p>
      <w:pPr>
        <w:ind w:firstLine="420"/>
        <w:spacing w:line="360" w:lineRule="auto"/>
        <w:tabs>
          <w:tab w:val="left" w:pos="851"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11.3.2对采购过程提出质疑的，自采购程序环节结束之日起计算；</w:t>
      </w:r>
      <w:r/>
    </w:p>
    <w:p>
      <w:pPr>
        <w:ind w:firstLine="420"/>
        <w:spacing w:line="360" w:lineRule="auto"/>
        <w:tabs>
          <w:tab w:val="left" w:pos="851"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11.3.3对中标结果提出质疑的，自中标结果公告期限届满之日起计算。</w:t>
      </w:r>
      <w:r/>
    </w:p>
    <w:p>
      <w:pPr>
        <w:ind w:firstLine="420"/>
        <w:spacing w:line="360" w:lineRule="auto"/>
        <w:tabs>
          <w:tab w:val="left" w:pos="851"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供应商提出质疑应当提交质疑函和必要的证明材料。质疑函应当包括下列内容：</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11.4.1 供应商的姓名或者名称、地址、邮编、联系人及联系电话；</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11.4.2 质疑项目的名称、编号；</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11.4.3 具体、明确的质疑事项和与质疑事项相关的请求；</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11.4.4 事实依据；</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11.4.5 必要的法律依据；</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11.4.6 提出质疑的日期。</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11.5质疑函的格式和内容应当符合财政部《政府采购供应商质疑函范本》 </w:t>
      </w:r>
      <w:bookmarkStart w:id="12" w:name="baidusnap5"/>
      <w:r/>
      <w:bookmarkEnd w:id="12"/>
      <w:r>
        <w:rPr>
          <w:rFonts w:hint="eastAsia" w:asciiTheme="minorEastAsia" w:hAnsiTheme="minorEastAsia" w:eastAsiaTheme="minorEastAsia" w:cstheme="minorEastAsia"/>
          <w:sz w:val="24"/>
          <w:szCs w:val="24"/>
        </w:rPr>
        <w:t xml:space="preserve">要求，质疑函范本在财政部官网上提供下载。</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提交质疑函同时应当附如下证明材料：</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11.6.1对采购文件提出质疑的供应商提供参加本项目的报名确认单；</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11.6.2质疑供应商的营业执照复印件加盖单位公章；</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11.6.3质疑供应商法定代表人身份证复印件加盖单位公章；</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11.8 供应商如对本项目提出质疑须在法定质疑期内一次性提出针对同一采购程序环节的质疑。</w:t>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11.9 接受质疑函联系方式见采购公告联系事项。</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四、投标文件说明</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12、提示与要求</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12.2 无论是否递交投标文件，投标人都应将招标文件及以后的所有通知、文件等视为保密文件。</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13、投标文件计量单位和使用文字</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13.1 投标文件中所使用的计量单位，除招标文件中有特殊要求外，均应使用中华人民共和国法定计量单位。</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14、知识产权</w:t>
      </w:r>
      <w:r/>
    </w:p>
    <w:p>
      <w:pPr>
        <w:pStyle w:val="821"/>
        <w:ind w:left="0" w:firstLine="426"/>
        <w:jc w:val="both"/>
        <w:spacing w:before="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14.1</w:t>
      </w:r>
      <w:r>
        <w:rPr>
          <w:rFonts w:hint="eastAsia" w:asciiTheme="minorEastAsia" w:hAnsiTheme="minorEastAsia" w:eastAsiaTheme="minorEastAsia" w:cstheme="minorEastAsia"/>
          <w:spacing w:val="-6"/>
          <w:sz w:val="24"/>
          <w:szCs w:val="24"/>
          <w:highlight w:val="none"/>
        </w:rPr>
        <w:t xml:space="preserve"> 投标人应保证在本项目使用的任何产品</w:t>
      </w:r>
      <w:r>
        <w:rPr>
          <w:rFonts w:hint="eastAsia" w:asciiTheme="minorEastAsia" w:hAnsiTheme="minorEastAsia" w:eastAsiaTheme="minorEastAsia" w:cstheme="minorEastAsia"/>
          <w:spacing w:val="-3"/>
          <w:sz w:val="24"/>
          <w:szCs w:val="24"/>
          <w:highlight w:val="none"/>
        </w:rPr>
        <w:t xml:space="preserve">（包括部分使用</w:t>
      </w:r>
      <w:r>
        <w:rPr>
          <w:rFonts w:hint="eastAsia" w:asciiTheme="minorEastAsia" w:hAnsiTheme="minorEastAsia" w:eastAsiaTheme="minorEastAsia" w:cstheme="minorEastAsia"/>
          <w:spacing w:val="-12"/>
          <w:sz w:val="24"/>
          <w:szCs w:val="24"/>
          <w:highlight w:val="none"/>
        </w:rPr>
        <w:t xml:space="preserve">）</w:t>
      </w:r>
      <w:r>
        <w:rPr>
          <w:rFonts w:hint="eastAsia" w:asciiTheme="minorEastAsia" w:hAnsiTheme="minorEastAsia" w:eastAsiaTheme="minorEastAsia" w:cstheme="minorEastAsia"/>
          <w:spacing w:val="-4"/>
          <w:sz w:val="24"/>
          <w:szCs w:val="24"/>
          <w:highlight w:val="none"/>
        </w:rPr>
        <w:t xml:space="preserve">时，不会产生因第三方提出侵犯其专利权、商标权或其它知识产权而引起的法律和经济纠纷，如因专利权、商标权或其它知识产权而引</w:t>
      </w:r>
      <w:r>
        <w:rPr>
          <w:rFonts w:hint="eastAsia" w:asciiTheme="minorEastAsia" w:hAnsiTheme="minorEastAsia" w:eastAsiaTheme="minorEastAsia" w:cstheme="minorEastAsia"/>
          <w:spacing w:val="-3"/>
          <w:sz w:val="24"/>
          <w:szCs w:val="24"/>
          <w:highlight w:val="none"/>
        </w:rPr>
        <w:t xml:space="preserve">起法律和经济纠纷，由投标人承担所有相关责任。</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15、投标文件的组成和顺序（顺序以软件为准）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Cs w:val="0"/>
          <w:sz w:val="24"/>
          <w:szCs w:val="24"/>
          <w:highlight w:val="none"/>
        </w:rPr>
        <w:t xml:space="preserve">15.1 </w:t>
      </w:r>
      <w:r>
        <w:rPr>
          <w:rFonts w:hint="eastAsia" w:asciiTheme="minorEastAsia" w:hAnsiTheme="minorEastAsia" w:eastAsiaTheme="minorEastAsia" w:cstheme="minorEastAsia"/>
          <w:sz w:val="24"/>
          <w:szCs w:val="24"/>
          <w:highlight w:val="none"/>
        </w:rPr>
        <w:t xml:space="preserve">报价部分</w:t>
      </w:r>
      <w:r>
        <w:rPr>
          <w:rFonts w:hint="eastAsia" w:asciiTheme="minorEastAsia" w:hAnsiTheme="minorEastAsia" w:eastAsiaTheme="minorEastAsia" w:cstheme="minorEastAsia"/>
          <w:b w:val="0"/>
          <w:bCs w:val="0"/>
          <w:sz w:val="24"/>
          <w:szCs w:val="24"/>
          <w:highlight w:val="none"/>
        </w:rPr>
        <w:t xml:space="preserve">（详见投标文件格式）：</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15.1.1投标承诺函；</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15.1.2授权委托书（如有授权）；</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15.1.3投标人法定代表人身份证复印件；</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15.1.4投标人授权代理人身份证复印件（如有授权）；</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15.1.5开标一览表（详见软件格式）；</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15.1.6关于资格文件的声明函（详见投标文件格式）；</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15.1.7投标单位情况表（详见投标文件格式）；</w:t>
      </w:r>
      <w:r/>
    </w:p>
    <w:p>
      <w:pPr>
        <w:pStyle w:val="810"/>
        <w:ind w:left="0" w:firstLine="420"/>
        <w:jc w:val="both"/>
        <w:spacing w:line="36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t xml:space="preserve">15.2 资质证明文件部分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15.2.1投标单位营业执照副本或三证合一营业执照复印件；</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15.2.2 投标人参加本次政府采购活动前的财务状况报告或者银行出具的资信证明；</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15.2.3 投标人根据项目需求提供履行合同所必需的设备和专业技术能力的证明材料；</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15.2.4 投标人参加本次政府采购活动前半年（至少一个月）依法缴纳税收和社会保障资金的证明材料；</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12.2.5 投标人参加政府采购活动前在经营活动中没有重大违法记录的书面申明；</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15.2.6投标人证明其符合招标文件规定的投标人特定资格条件的证书、证明和文件材料（如有，见招标公告特定资格要求）；</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15.2.7 中小企业声明函及相关材料（如有）；</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15.2.8 残疾人福利性单位声明函（如有）；</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15.2.9 其他可以证明投标人资信、资质和货物、服务质量的证书、文件、推荐信等资料；（如有）</w:t>
      </w:r>
      <w:r/>
    </w:p>
    <w:p>
      <w:pPr>
        <w:pStyle w:val="810"/>
        <w:ind w:left="0" w:firstLine="420"/>
        <w:jc w:val="both"/>
        <w:spacing w:line="36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t xml:space="preserve">15.3商务及</w:t>
      </w:r>
      <w:r>
        <w:rPr>
          <w:rFonts w:hint="eastAsia" w:asciiTheme="minorEastAsia" w:hAnsiTheme="minorEastAsia" w:eastAsiaTheme="minorEastAsia" w:cstheme="minorEastAsia"/>
          <w:sz w:val="24"/>
          <w:szCs w:val="24"/>
          <w:highlight w:val="none"/>
        </w:rPr>
        <w:t xml:space="preserve">技术部分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15.3.1 技术方案；</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15.3.2 服务要求偏离表、商务条款偏离表；</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15.3.3拟投入本项目的专业技术（服务）人员情况一览表；</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15.3.4拟投入本项目工具、物资情况表；</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15.3.5企业业绩一览表；</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15.3.6 招标文件及评分标准中要求提供的其他相关材料（如有）；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15.3.7其他需投标人对本次投标的详细说明（投标人视各自的情况自行编制）。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15.4 </w:t>
      </w:r>
      <w:r>
        <w:rPr>
          <w:rFonts w:hint="eastAsia" w:asciiTheme="minorEastAsia" w:hAnsiTheme="minorEastAsia" w:eastAsiaTheme="minorEastAsia" w:cstheme="minorEastAsia"/>
          <w:sz w:val="24"/>
          <w:szCs w:val="24"/>
          <w:highlight w:val="none"/>
        </w:rPr>
        <w:t xml:space="preserve">投标文件由 15.1-15.3 款规定的内容共同组成。</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16、投标文件编制要求</w:t>
      </w:r>
      <w:r/>
    </w:p>
    <w:p>
      <w:pPr>
        <w:ind w:firstLine="420"/>
        <w:spacing w:line="36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16.1 </w:t>
      </w:r>
      <w:r>
        <w:rPr>
          <w:rFonts w:hint="eastAsia" w:asciiTheme="minorEastAsia" w:hAnsiTheme="minorEastAsia" w:eastAsiaTheme="minorEastAsia" w:cstheme="minorEastAsia"/>
          <w:b/>
          <w:bCs/>
          <w:sz w:val="24"/>
          <w:szCs w:val="24"/>
        </w:rPr>
        <w:t xml:space="preserve">电子投标文件编制要求：投标人应使用招标文件要求的投标文件制作软件制作电子投标文件，电子投标文件按招标文件规定的格式制作，如果未按要求制作上传，可能导致投标无效。投标文件制作软件会制作成两个文件，分别是加密文件（.SZTF）和非加密文件（.nSZTF），系统中上传加密文件（.SZTF）。</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17、投标报价（编制）要求的说明</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17.3 一项投标内容只允许一个报价，招标采购单位不接受任何有选择性的投标报价。</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17.4 投标文件报价中的单价和总价全部采用人民币表示，除非合同的特殊条款另有规定。</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17.5 最低的投标报价或最高的折扣比例是中标的重要条件，但不是中标的唯一条件。</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18、投标保证金</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本项目无须缴纳投标保证金。</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19、投标文件的有效期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19.1 在本招标文件规定的开标之日起90天内，投标人所提交的投标文件应保持有效。有效期短于这个规定期限的投标文件，将被认定为未实质性响应招标文件要求。</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19.2 在特殊情况下，招标采购单位可与投标人协商延长投标书的有效期。这种要求和答复都应以书面形式进行。</w:t>
      </w:r>
      <w:r>
        <w:rPr>
          <w:rFonts w:hint="eastAsia" w:asciiTheme="minorEastAsia" w:hAnsiTheme="minorEastAsia" w:eastAsiaTheme="minorEastAsia" w:cstheme="minorEastAsia"/>
          <w:sz w:val="24"/>
          <w:szCs w:val="24"/>
          <w:highlight w:val="none"/>
        </w:rPr>
        <w:t xml:space="preserve">同意延长有效期的投标人不能修改投标文件。拒绝接受延期要求的投标人的投标将被拒绝。</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五、投标文件的递交、撤回和修改</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20、投标文件的上传、提交</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20.1 投标人应将制作好的加密电子投标文件按要求在投标截止时间前上传到交易系统平台中。</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21、投标截止时间</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21.1 电子投标文件必须按招标公告中规定的网上投标截止时间前提交，否则投标无效。</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21.2 采购代理机构推迟投标截止时间时，应以更正公告的形式，通知所有投标人。在这种情况下，采购代理机构和投标人的权利和义务将受到新的截止期的约束。</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21.3 在投标截止时间止采购代理机构收到的电子投标文件少于三份的，采购代理机构有权宣布本次招标失败。</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22、投标文件的修改和撤回</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22.1 投标人在提交投标文件截止时间前，可对其投标文件进行撤回或修改。</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22.2 开标后投标人不得撤回投标。</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六、开标和评标</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23、开标</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23.1 采购代理机构按采购公告规定的时间、地点主持不见面开标活动。开标仪式由采购代理机构主持。</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23.2</w:t>
      </w:r>
      <w:r>
        <w:rPr>
          <w:rFonts w:hint="eastAsia" w:asciiTheme="minorEastAsia" w:hAnsiTheme="minorEastAsia" w:eastAsiaTheme="minorEastAsia" w:cstheme="minorEastAsia"/>
          <w:sz w:val="24"/>
          <w:szCs w:val="24"/>
          <w:highlight w:val="none"/>
        </w:rPr>
        <w:t xml:space="preserve"> 参加开标的投标法定代表人或授权代理人须在项目开标前登录苏采云不见面开标系统，进入网上不见面开标大厅，做好相关准备工作。</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23.3 </w:t>
      </w:r>
      <w:r>
        <w:rPr>
          <w:rFonts w:hint="eastAsia" w:asciiTheme="minorEastAsia" w:hAnsiTheme="minorEastAsia" w:eastAsiaTheme="minorEastAsia" w:cstheme="minorEastAsia"/>
          <w:sz w:val="24"/>
          <w:szCs w:val="24"/>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23.4 采购代理机构在开标仪式上，将公布投标人的名称、投标价格，并将作唱标记录。</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23.5 投标人代表对开标过程和开标记录有疑义，以及认为采购人、采购代理机构相关工作人员有需要回避的情形的，</w:t>
      </w:r>
      <w:r>
        <w:rPr>
          <w:rFonts w:hint="eastAsia" w:asciiTheme="minorEastAsia" w:hAnsiTheme="minorEastAsia" w:eastAsiaTheme="minorEastAsia" w:cstheme="minorEastAsia"/>
          <w:sz w:val="24"/>
          <w:szCs w:val="24"/>
          <w:highlight w:val="none"/>
        </w:rPr>
        <w:t xml:space="preserve">应通过不见面开标大厅</w:t>
      </w:r>
      <w:r>
        <w:rPr>
          <w:rFonts w:hint="eastAsia" w:asciiTheme="minorEastAsia" w:hAnsiTheme="minorEastAsia" w:eastAsiaTheme="minorEastAsia" w:cstheme="minorEastAsia"/>
          <w:b w:val="0"/>
          <w:bCs w:val="0"/>
          <w:sz w:val="24"/>
          <w:szCs w:val="24"/>
          <w:highlight w:val="none"/>
        </w:rPr>
        <w:t xml:space="preserve">提出询问或者回避申请。采购人、采购代理机构对投标人代表提出的询问或者回避申请应当及时处理。</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24、评标委员会</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24.1 评标委员会由招标采购单位依法组建，负责本项目的评标事务。</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24.2 评标委员会独立履行下列职责：</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24.2.1 审查投标文件是否符合招标文件的要求，并作评价；</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24.2.2 可要求投标供应商对投标文件有关事项作解释或澄清；</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24.2.3 评标委员会负责本次招标的评标活动，向招标人推荐中标供应商；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24.2.4 向招标采购单位或者有关部门报告非法干预评标工作的行为。</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24.3 评标委员会成员应当履行下列义务：</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24.3.1 遵纪守法，客观、公正、廉洁地履行职责；</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24.3.2 按照招标文件规定的评标办法和评标标准进行评标，对评审意见承担个人责任；</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24.3.3 对评标过程和结果，以及投标人的商业秘密保密；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24.3.4 参与评标报告的起草；</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24.3.5 配合相关部门的投诉处理工作；</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24.3.6 配合招标采购单位答复投标供应商提出的质疑。</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25、评标内容的保密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25.2 在投标文件的审查、澄清、评价和比较以及授予合同的过程中，投标人对招标采购单位和评标委员会成员施加影响的任何行为，都将取消其投标资格。</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25.3 在评标期间，招标采购单位将通过指定联络人与投标人进行联系。</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26、对投标文件初审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26.1 投标文件初审分为资格性检查和符合性检查。</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26.1.1 资格性检查。依据法律法规和招标文件的规定，</w:t>
      </w:r>
      <w:r>
        <w:rPr>
          <w:rFonts w:hint="eastAsia" w:asciiTheme="minorEastAsia" w:hAnsiTheme="minorEastAsia" w:eastAsiaTheme="minorEastAsia" w:cstheme="minorEastAsia"/>
          <w:sz w:val="24"/>
          <w:szCs w:val="24"/>
          <w:highlight w:val="none"/>
        </w:rPr>
        <w:t xml:space="preserve">对投标文件中的资格证明相关资料进行审查，以确定投标供应商是否具备投标资格。</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26.1.2 </w:t>
      </w:r>
      <w:r>
        <w:rPr>
          <w:rFonts w:hint="eastAsia" w:asciiTheme="minorEastAsia" w:hAnsiTheme="minorEastAsia" w:eastAsiaTheme="minorEastAsia" w:cstheme="minorEastAsia"/>
          <w:sz w:val="24"/>
          <w:szCs w:val="24"/>
          <w:highlight w:val="none"/>
        </w:rPr>
        <w:t xml:space="preserve">关于诚信记录查询：</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（2）查询时间：投标文件递交截止时间。</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（3）查询渠道：登录 “供应商信用查询”系统查询供应商的信用记录。系统实时提供来自中国政府采购网、信用中国、信用江苏、诚信苏州网站的相关主体信用记录。</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（5）信用记录使用规则：评审小组在对供应商进行资格性审查时，应根据查询结果对供应商的不良信用记录逐项甄别确认。</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26.1.3 符合性检查。依据招标文件的规定，从投标文件的有效性、完整性和对招标文件的响应程度进行审查，以确定是否对招标文件的实质性要求作响应。</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26.2.1 不同投标人的投标文件由同一单位或者个人编制；</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26.2.2 不同投标人委托同一单位或者个人办理投标事宜；</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26.2.3 不同投标人的投标文件载明的项目管理成员或者联系人员为同一人；</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26.2.4 不同投标人的投标文件异常一致或者投标报价呈规律性差异；</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26.2.5 不同投标人的投标文件相互混装。</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26.6 评委会将对确定为实质性响应的投标进行审核，看其是否有计算上或累加上的算术错误，修正错误的原则如下：</w:t>
      </w:r>
      <w:r/>
    </w:p>
    <w:p>
      <w:pPr>
        <w:pStyle w:val="810"/>
        <w:ind w:left="0" w:firstLine="420"/>
        <w:jc w:val="both"/>
        <w:spacing w:line="360" w:lineRule="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sz w:val="24"/>
          <w:szCs w:val="24"/>
          <w:highlight w:val="none"/>
        </w:rPr>
        <w:t xml:space="preserve">26.6.1 投标</w:t>
      </w:r>
      <w:r>
        <w:rPr>
          <w:rFonts w:hint="eastAsia" w:asciiTheme="minorEastAsia" w:hAnsiTheme="minorEastAsia" w:eastAsiaTheme="minorEastAsia" w:cstheme="minorEastAsia"/>
          <w:b w:val="0"/>
          <w:bCs w:val="0"/>
          <w:color w:val="000000" w:themeColor="text1"/>
          <w:sz w:val="24"/>
          <w:szCs w:val="24"/>
          <w:highlight w:val="none"/>
        </w:rPr>
        <w:t xml:space="preserve">文件中开标一览表（报价表）内容与投标文件中相应内容不一致的，以开标一览表（报价表）为准；</w:t>
      </w:r>
      <w:r>
        <w:rPr>
          <w:color w:val="000000" w:themeColor="text1"/>
        </w:rPr>
      </w:r>
      <w:r/>
    </w:p>
    <w:p>
      <w:pPr>
        <w:pStyle w:val="810"/>
        <w:ind w:left="0" w:firstLine="420"/>
        <w:jc w:val="both"/>
        <w:spacing w:line="360" w:lineRule="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rPr>
        <w:t xml:space="preserve">26.6.2 大写金额和小写金额不一致的，以大写金额为准；</w:t>
      </w:r>
      <w:r>
        <w:rPr>
          <w:color w:val="000000" w:themeColor="text1"/>
        </w:rPr>
      </w:r>
      <w:r/>
    </w:p>
    <w:p>
      <w:pPr>
        <w:pStyle w:val="810"/>
        <w:ind w:left="0" w:firstLine="420"/>
        <w:jc w:val="both"/>
        <w:spacing w:line="360" w:lineRule="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rPr>
        <w:t xml:space="preserve">26.6.3 单价金额小数点或者百分比有明显错位的，以开标一览表的总价为准，并修改单价；</w:t>
      </w:r>
      <w:r>
        <w:rPr>
          <w:color w:val="000000" w:themeColor="text1"/>
        </w:rPr>
      </w:r>
      <w:r/>
    </w:p>
    <w:p>
      <w:pPr>
        <w:pStyle w:val="810"/>
        <w:ind w:left="0" w:firstLine="420"/>
        <w:jc w:val="both"/>
        <w:spacing w:line="360" w:lineRule="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rPr>
        <w:t xml:space="preserve">26.6.4 总价金额与按单价汇总金额不一致的，以单价金额计算结果为准。</w:t>
      </w:r>
      <w:r>
        <w:rPr>
          <w:color w:val="000000" w:themeColor="text1"/>
        </w:rPr>
      </w:r>
      <w:r/>
    </w:p>
    <w:p>
      <w:pPr>
        <w:pStyle w:val="810"/>
        <w:ind w:left="0" w:firstLine="420"/>
        <w:jc w:val="both"/>
        <w:spacing w:line="360" w:lineRule="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rPr>
        <w:t xml:space="preserve">同时出现两种以上不一致的，按照前款规定的顺序修正。修正后的报价按照本须知 26.6 条规定经投标人确认后产生约束力，投标人不确认的，其投标无效。</w:t>
      </w:r>
      <w:r>
        <w:rPr>
          <w:color w:val="000000" w:themeColor="text1"/>
        </w:rPr>
      </w:r>
      <w:r/>
    </w:p>
    <w:p>
      <w:pPr>
        <w:ind w:firstLine="361"/>
        <w:spacing w:line="440" w:lineRule="exact"/>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zh-CN"/>
        </w:rPr>
        <w:t xml:space="preserve">26.7异常低价审查</w:t>
      </w:r>
      <w:r>
        <w:rPr>
          <w:b/>
          <w:bCs/>
          <w:color w:val="000000" w:themeColor="text1"/>
        </w:rPr>
      </w:r>
      <w:r/>
    </w:p>
    <w:p>
      <w:pPr>
        <w:ind w:firstLine="361"/>
        <w:spacing w:line="440" w:lineRule="exact"/>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26.7.1根据</w:t>
      </w:r>
      <w:r>
        <w:rPr>
          <w:rFonts w:hint="eastAsia" w:ascii="宋体" w:hAnsi="宋体" w:eastAsia="宋体" w:cs="Times New Roman"/>
          <w:b/>
          <w:bCs/>
          <w:color w:val="000000" w:themeColor="text1"/>
          <w:sz w:val="24"/>
          <w:szCs w:val="24"/>
          <w:highlight w:val="none"/>
          <w:lang w:val="zh-CN"/>
        </w:rPr>
        <w:t xml:space="preserve">《关于推动解决政府采购异常低价问题相关工作的通知》（苏财购〔2025〕62号）</w:t>
      </w:r>
      <w:r>
        <w:rPr>
          <w:rFonts w:hint="eastAsia" w:ascii="宋体" w:hAnsi="宋体" w:eastAsia="宋体" w:cs="Times New Roman"/>
          <w:b/>
          <w:bCs/>
          <w:color w:val="000000" w:themeColor="text1"/>
          <w:sz w:val="24"/>
          <w:szCs w:val="24"/>
          <w:highlight w:val="none"/>
          <w:lang w:val="en-US" w:eastAsia="zh-CN"/>
        </w:rPr>
        <w:t xml:space="preserve">要求，</w:t>
      </w:r>
      <w:r>
        <w:rPr>
          <w:rFonts w:ascii="宋体" w:hAnsi="宋体" w:eastAsia="宋体" w:cs="Times New Roman"/>
          <w:b/>
          <w:bCs/>
          <w:color w:val="000000" w:themeColor="text1"/>
          <w:sz w:val="24"/>
          <w:szCs w:val="24"/>
          <w:highlight w:val="none"/>
          <w:lang w:val="zh-CN"/>
        </w:rPr>
        <w:t xml:space="preserve">评审委员会评审过程中出现下列情形之一的，评审委员会应当启动异常低价投标（响应）审查程序：</w:t>
      </w:r>
      <w:r>
        <w:rPr>
          <w:b/>
          <w:bCs/>
          <w:color w:val="000000" w:themeColor="text1"/>
        </w:rPr>
      </w:r>
      <w:r/>
    </w:p>
    <w:p>
      <w:pPr>
        <w:ind w:firstLine="361"/>
        <w:spacing w:line="440" w:lineRule="exact"/>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zh-CN"/>
        </w:rPr>
        <w:t xml:space="preserve">（</w:t>
      </w:r>
      <w:r>
        <w:rPr>
          <w:rFonts w:hint="eastAsia" w:ascii="宋体" w:hAnsi="宋体" w:eastAsia="宋体" w:cs="Times New Roman"/>
          <w:b/>
          <w:bCs/>
          <w:color w:val="000000" w:themeColor="text1"/>
          <w:sz w:val="24"/>
          <w:szCs w:val="24"/>
          <w:highlight w:val="none"/>
          <w:lang w:val="en-US" w:eastAsia="zh-CN"/>
        </w:rPr>
        <w:t xml:space="preserve">1</w:t>
      </w:r>
      <w:r>
        <w:rPr>
          <w:rFonts w:hint="eastAsia" w:ascii="宋体" w:hAnsi="宋体" w:eastAsia="宋体" w:cs="Times New Roman"/>
          <w:b/>
          <w:bCs/>
          <w:color w:val="000000" w:themeColor="text1"/>
          <w:sz w:val="24"/>
          <w:szCs w:val="24"/>
          <w:highlight w:val="none"/>
          <w:lang w:val="zh-CN"/>
        </w:rPr>
        <w:t xml:space="preserve">）</w:t>
      </w:r>
      <w:r>
        <w:rPr>
          <w:rFonts w:ascii="宋体" w:hAnsi="宋体" w:eastAsia="宋体" w:cs="Times New Roman"/>
          <w:b/>
          <w:bCs/>
          <w:color w:val="000000" w:themeColor="text1"/>
          <w:sz w:val="24"/>
          <w:szCs w:val="24"/>
          <w:highlight w:val="none"/>
          <w:lang w:val="zh-CN"/>
        </w:rPr>
        <w:t xml:space="preserve">投标（响应）报价低于采购项目预算50%的，即投标（响应）报价&lt;采购项目预算×50%；</w:t>
      </w:r>
      <w:r>
        <w:rPr>
          <w:b/>
          <w:bCs/>
          <w:color w:val="000000" w:themeColor="text1"/>
        </w:rPr>
      </w:r>
      <w:r/>
    </w:p>
    <w:p>
      <w:pPr>
        <w:ind w:firstLine="361"/>
        <w:spacing w:line="440" w:lineRule="exact"/>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zh-CN"/>
        </w:rPr>
        <w:t xml:space="preserve">（</w:t>
      </w:r>
      <w:r>
        <w:rPr>
          <w:rFonts w:hint="eastAsia" w:ascii="宋体" w:hAnsi="宋体" w:eastAsia="宋体" w:cs="Times New Roman"/>
          <w:b/>
          <w:bCs/>
          <w:color w:val="000000" w:themeColor="text1"/>
          <w:sz w:val="24"/>
          <w:szCs w:val="24"/>
          <w:highlight w:val="none"/>
          <w:lang w:val="en-US" w:eastAsia="zh-CN"/>
        </w:rPr>
        <w:t xml:space="preserve">2</w:t>
      </w:r>
      <w:r>
        <w:rPr>
          <w:rFonts w:hint="eastAsia" w:ascii="宋体" w:hAnsi="宋体" w:eastAsia="宋体" w:cs="Times New Roman"/>
          <w:b/>
          <w:bCs/>
          <w:color w:val="000000" w:themeColor="text1"/>
          <w:sz w:val="24"/>
          <w:szCs w:val="24"/>
          <w:highlight w:val="none"/>
          <w:lang w:val="zh-CN"/>
        </w:rPr>
        <w:t xml:space="preserve">）</w:t>
      </w:r>
      <w:r>
        <w:rPr>
          <w:rFonts w:ascii="宋体" w:hAnsi="宋体" w:eastAsia="宋体" w:cs="Times New Roman"/>
          <w:b/>
          <w:bCs/>
          <w:color w:val="000000" w:themeColor="text1"/>
          <w:sz w:val="24"/>
          <w:szCs w:val="24"/>
          <w:highlight w:val="none"/>
          <w:lang w:val="zh-CN"/>
        </w:rPr>
        <w:t xml:space="preserve">投标（响应）报价低于采购项目最高限价45%的，即投标（响应）报价&lt;采购项目最高限价×45%；</w:t>
      </w:r>
      <w:r>
        <w:rPr>
          <w:b/>
          <w:bCs/>
          <w:color w:val="000000" w:themeColor="text1"/>
        </w:rPr>
      </w:r>
      <w:r/>
    </w:p>
    <w:p>
      <w:pPr>
        <w:ind w:firstLine="361"/>
        <w:spacing w:line="440" w:lineRule="exact"/>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zh-CN"/>
        </w:rPr>
        <w:t xml:space="preserve">（</w:t>
      </w:r>
      <w:r>
        <w:rPr>
          <w:rFonts w:hint="eastAsia" w:ascii="宋体" w:hAnsi="宋体" w:eastAsia="宋体" w:cs="Times New Roman"/>
          <w:b/>
          <w:bCs/>
          <w:color w:val="000000" w:themeColor="text1"/>
          <w:sz w:val="24"/>
          <w:szCs w:val="24"/>
          <w:highlight w:val="none"/>
          <w:lang w:val="en-US" w:eastAsia="zh-CN"/>
        </w:rPr>
        <w:t xml:space="preserve">3</w:t>
      </w:r>
      <w:r>
        <w:rPr>
          <w:rFonts w:hint="eastAsia" w:ascii="宋体" w:hAnsi="宋体" w:eastAsia="宋体" w:cs="Times New Roman"/>
          <w:b/>
          <w:bCs/>
          <w:color w:val="000000" w:themeColor="text1"/>
          <w:sz w:val="24"/>
          <w:szCs w:val="24"/>
          <w:highlight w:val="none"/>
          <w:lang w:val="zh-CN"/>
        </w:rPr>
        <w:t xml:space="preserve">）</w:t>
      </w:r>
      <w:r>
        <w:rPr>
          <w:rFonts w:ascii="宋体" w:hAnsi="宋体" w:eastAsia="宋体" w:cs="Times New Roman"/>
          <w:b/>
          <w:bCs/>
          <w:color w:val="000000" w:themeColor="text1"/>
          <w:sz w:val="24"/>
          <w:szCs w:val="24"/>
          <w:highlight w:val="none"/>
          <w:lang w:val="zh-CN"/>
        </w:rPr>
        <w:t xml:space="preserve">评审委员会认定的供应商报价过低、有可能影响产品质量或者不能诚信履约的其他情形。</w:t>
      </w:r>
      <w:r>
        <w:rPr>
          <w:b/>
          <w:bCs/>
          <w:color w:val="000000" w:themeColor="text1"/>
        </w:rPr>
      </w:r>
      <w:r/>
    </w:p>
    <w:p>
      <w:pPr>
        <w:ind w:firstLine="361"/>
        <w:spacing w:line="440" w:lineRule="exact"/>
        <w:rPr>
          <w:rFonts w:hint="eastAsia" w:asciiTheme="minorEastAsia" w:hAnsiTheme="minorEastAsia" w:eastAsiaTheme="minorEastAsia" w:cstheme="minorEastAsia"/>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26.7.2</w:t>
      </w:r>
      <w:r>
        <w:rPr>
          <w:rFonts w:ascii="宋体" w:hAnsi="宋体" w:eastAsia="宋体" w:cs="Times New Roman"/>
          <w:b/>
          <w:bCs/>
          <w:color w:val="000000" w:themeColor="text1"/>
          <w:sz w:val="24"/>
          <w:szCs w:val="24"/>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b/>
          <w:bCs/>
          <w:color w:val="000000" w:themeColor="text1"/>
        </w:rPr>
      </w:r>
      <w:r/>
    </w:p>
    <w:p>
      <w:pPr>
        <w:ind w:firstLine="360"/>
        <w:spacing w:line="440" w:lineRule="exact"/>
        <w:rPr>
          <w:rFonts w:ascii="宋体" w:hAnsi="宋体"/>
          <w:color w:val="000000"/>
          <w:sz w:val="24"/>
          <w:szCs w:val="24"/>
          <w:highlight w:val="none"/>
        </w:rPr>
      </w:pPr>
      <w:r>
        <w:rPr>
          <w:rFonts w:hint="eastAsia" w:ascii="宋体" w:hAnsi="宋体"/>
          <w:b w:val="0"/>
          <w:bCs w:val="0"/>
          <w:color w:val="000000"/>
          <w:sz w:val="24"/>
          <w:szCs w:val="24"/>
          <w:highlight w:val="none"/>
          <w:lang w:val="zh-CN"/>
        </w:rPr>
        <w:t xml:space="preserve">26.8</w:t>
      </w:r>
      <w:r>
        <w:rPr>
          <w:rFonts w:hint="eastAsia" w:ascii="宋体" w:hAnsi="宋体"/>
          <w:b w:val="0"/>
          <w:bCs w:val="0"/>
          <w:color w:val="000000"/>
          <w:sz w:val="24"/>
          <w:szCs w:val="24"/>
          <w:highlight w:val="none"/>
        </w:rPr>
        <w:t xml:space="preserve">对不同文字文本投标</w:t>
      </w:r>
      <w:r>
        <w:rPr>
          <w:rFonts w:hint="eastAsia" w:ascii="宋体" w:hAnsi="宋体"/>
          <w:color w:val="000000"/>
          <w:sz w:val="24"/>
          <w:szCs w:val="24"/>
          <w:highlight w:val="none"/>
        </w:rPr>
        <w:t xml:space="preserve">文件的解释发生异议的，以中文文本为准；</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26.9</w:t>
      </w:r>
      <w:r>
        <w:rPr>
          <w:rFonts w:ascii="宋体" w:hAnsi="宋体"/>
          <w:color w:val="000000"/>
          <w:sz w:val="24"/>
          <w:szCs w:val="24"/>
          <w:highlight w:val="none"/>
          <w:lang w:val="zh-CN"/>
        </w:rPr>
        <w:t xml:space="preserve">评标委员会</w:t>
      </w:r>
      <w:r>
        <w:rPr>
          <w:rFonts w:hint="eastAsia" w:ascii="宋体" w:hAnsi="宋体"/>
          <w:color w:val="000000"/>
          <w:sz w:val="24"/>
          <w:szCs w:val="24"/>
          <w:highlight w:val="none"/>
        </w:rPr>
        <w:t xml:space="preserve">对投标文件的判定，只依据投标内容本身，不依靠开标后的任何外来证明。</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26.10</w:t>
      </w:r>
      <w:r>
        <w:rPr>
          <w:rFonts w:ascii="宋体" w:hAnsi="宋体"/>
          <w:color w:val="000000"/>
          <w:sz w:val="24"/>
          <w:szCs w:val="24"/>
          <w:highlight w:val="none"/>
          <w:lang w:val="zh-CN"/>
        </w:rPr>
        <w:t xml:space="preserve">评标委员会</w:t>
      </w:r>
      <w:r>
        <w:rPr>
          <w:rFonts w:hint="eastAsia" w:ascii="宋体" w:hAnsi="宋体"/>
          <w:color w:val="000000"/>
          <w:sz w:val="24"/>
          <w:szCs w:val="24"/>
          <w:highlight w:val="none"/>
        </w:rPr>
        <w:t xml:space="preserve">将拒绝被确定为非实质性响应的投标，投标人不能通过修正或撤销不符之处而使其投标成为实质性响应的投标。</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27、投标的澄清</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28、废标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28.1 无效投标的具体情形有：</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28.1.1 不同投标人的投标文件使用同一台电脑编制的；</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28.1.2 投标文件未按招标文件要求签署、盖章的；</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28.1.3 不具备招标文件中规定的资格要求的；</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28.1.4 报价超过招标文件中规定的预算金额或者最高限价的；</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28.1.5 投标文件含有采购人不能接受的附加条件的；</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28.1.6 法律、法规和招标文件规定的其他无效情形。</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28.2 在招标采购中，出现下列情形之一的，应予废标：</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28.2.1 符合专业条件的供应商或者对招标文件作实质响应的供应商不足三家的；</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28.2.2 出现影响采购公正的违法、违规行为的；</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28.2.3 投标人的报价均超过了采购预算，采购人不能支付的；</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28.2.4 因重大变故，采购任务取消的。</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28.3 废标后，采购人应当将废标理由通知所有投标人。</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29、投标文件的评价和比较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29.1 评标委员会按招标文件规定的评标方法和标准，仅对资格性检查和符合性检查合格的投标文件进行商务和技术评估，综合比较与评价。</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29.2.1 服务的质量保证（保障）内容；</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29.2.2 服务配备的人员；</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29.2.3 投标者的资信情况和履约能力；</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29.2.4 投标者提供的其他优惠条件；</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29.2.5 参与本项目政府采购工作的态度及信誉；</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29.2.6 最低的投标报价或最高的折扣比例是中标的重要条件，但不是唯一条件。</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七、签订合同</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30、中标单位的确认</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30.2 经评标委员会评审并确定中标供应商后，采购代理机构将在规定的时间内将中标结果在相关媒体上予以公告。</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30.4 质疑函递交地点及联系方式详见 37.3 质疑函接收单位信息。</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31、合同授予</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31.1 采购人将把合同授予其投标文件在实质上响应招标文件要求和按本须知规定评选出的投标人。确定为中标的投标人必须具有实施本合同的能力和资源。</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32、中标通知书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32.2 中标通知书在中标公告发布后将发布在业务系统中，中标通知书发布之日视为中标供应商领取之日，中标供应商自行在业务系统中下载打印。</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32.3 中标通知书将成为合同的组成部分。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32.4 采购代理机构对未中标供应商不承担解释未中标原因的义务。</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33、履约保证金</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33.1 中标供应商按合同约定的要求提交履约保证金。</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33.2 履约保证金用以约束供应商在合同履行中的行为，弥补合同执行中由于自身行为可能给采购人带来的各种损失。</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33.3 履约保证金（无息）将在中标供应商合同履行完毕后，采购人在五个工作日内退还中标供应商。</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34、合同的签订</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34.2 签订合同及合同条款应以招标文件和中标供应商的投标文件及其澄清文件为依据。</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八、质疑与投诉 </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35、</w:t>
      </w:r>
      <w:r>
        <w:rPr>
          <w:rFonts w:hint="eastAsia" w:asciiTheme="minorEastAsia" w:hAnsiTheme="minorEastAsia" w:eastAsiaTheme="minorEastAsia" w:cstheme="minorEastAsia"/>
          <w:b w:val="0"/>
          <w:bCs w:val="0"/>
          <w:sz w:val="24"/>
          <w:szCs w:val="24"/>
          <w:highlight w:val="none"/>
        </w:rPr>
        <w:t xml:space="preserve">质疑的提出和答复、投诉的提起和处理须按《政府采购质疑和投诉办法》（中华人民共和国财政部令第 94 号）相关规定执行。</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36、质疑的提出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36.3 上述应知其权益受到损害之日是指：</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（1）对采购文件提出质疑的，为获取采购文件或者采购文件公告期限届满之日起计算；</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（2）对采购过程提出质疑的，自采购程序环节结束之日起计算；</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（3）对中标结果提出质疑的，自中标结果公告期限届满之日起计算。</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36.4 供应商提出质疑应当提交质疑函和必要的证明材料。质疑函应当包括下列内容：</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（1）供应商的姓名或者名称、地址、邮编、联系人及联系电话；</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（2）质疑项目的名称、编号；</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（3）具体、明确的质疑事项和与质疑事项相关的请求；</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（4）事实依据；</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（5）必要的法律依据；</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（6）提出质疑的日期。</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36.5 质疑函的格式和内容应当符合财政部《政府采购供应商质疑函范本》 要求，质疑函范本在财政部官网上提供下载。</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36.6 提交质疑函同时应当附如下证明材料：</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（1）对采购文件提出质疑的供应商提供参加本项目的报名确认单；</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（2）质疑供应商的营业执照复印件加盖单位公章；</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（3）质疑供应商法定代表人身份证复印件加盖单位公章；</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36.8 供应商须在法定质疑期内一次性提出针对同一采购程序环节的质疑。</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37、质疑的受理与答复</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37.1 采购人负责供应商质疑答复。采购人委托采购代理机构采购的，采购代理机构在委托授权范围内作出答复。</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37.2 质疑函由采购代理机构办理签收手续。</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37.3 质疑函接收单位信息：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lang w:eastAsia="zh-CN"/>
        </w:rPr>
      </w:pPr>
      <w:r>
        <w:rPr>
          <w:rFonts w:hint="eastAsia" w:asciiTheme="minorEastAsia" w:hAnsiTheme="minorEastAsia" w:eastAsiaTheme="minorEastAsia" w:cstheme="minorEastAsia"/>
          <w:b w:val="0"/>
          <w:bCs w:val="0"/>
          <w:sz w:val="24"/>
          <w:szCs w:val="24"/>
          <w:highlight w:val="none"/>
        </w:rPr>
        <w:t xml:space="preserve">接收单位：</w:t>
      </w:r>
      <w:r>
        <w:rPr>
          <w:rFonts w:hint="eastAsia" w:asciiTheme="minorEastAsia" w:hAnsiTheme="minorEastAsia" w:eastAsiaTheme="minorEastAsia" w:cstheme="minorEastAsia"/>
          <w:b w:val="0"/>
          <w:bCs w:val="0"/>
          <w:sz w:val="24"/>
          <w:szCs w:val="24"/>
          <w:highlight w:val="none"/>
          <w:lang w:eastAsia="zh-CN"/>
        </w:rPr>
        <w:t xml:space="preserve">苏州一投建设发展有限公司</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lang w:eastAsia="zh-CN"/>
        </w:rPr>
      </w:pPr>
      <w:r>
        <w:rPr>
          <w:rFonts w:hint="eastAsia" w:asciiTheme="minorEastAsia" w:hAnsiTheme="minorEastAsia" w:eastAsiaTheme="minorEastAsia" w:cstheme="minorEastAsia"/>
          <w:b w:val="0"/>
          <w:bCs w:val="0"/>
          <w:sz w:val="24"/>
          <w:szCs w:val="24"/>
          <w:highlight w:val="none"/>
        </w:rPr>
        <w:t xml:space="preserve">地址：</w:t>
      </w:r>
      <w:r>
        <w:rPr>
          <w:rFonts w:hint="eastAsia" w:asciiTheme="minorEastAsia" w:hAnsiTheme="minorEastAsia" w:eastAsiaTheme="minorEastAsia" w:cstheme="minorEastAsia"/>
          <w:b w:val="0"/>
          <w:bCs w:val="0"/>
          <w:sz w:val="24"/>
          <w:szCs w:val="24"/>
          <w:highlight w:val="none"/>
          <w:lang w:eastAsia="zh-CN"/>
        </w:rPr>
        <w:t xml:space="preserve">太仓市发展大厦1#401</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邮编：215400</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lang w:eastAsia="zh-CN"/>
        </w:rPr>
      </w:pPr>
      <w:r>
        <w:rPr>
          <w:rFonts w:hint="eastAsia" w:asciiTheme="minorEastAsia" w:hAnsiTheme="minorEastAsia" w:eastAsiaTheme="minorEastAsia" w:cstheme="minorEastAsia"/>
          <w:b w:val="0"/>
          <w:bCs w:val="0"/>
          <w:sz w:val="24"/>
          <w:szCs w:val="24"/>
          <w:highlight w:val="none"/>
        </w:rPr>
        <w:t xml:space="preserve">联系人：</w:t>
      </w:r>
      <w:r>
        <w:rPr>
          <w:rFonts w:hint="eastAsia" w:asciiTheme="minorEastAsia" w:hAnsiTheme="minorEastAsia" w:eastAsiaTheme="minorEastAsia" w:cstheme="minorEastAsia"/>
          <w:b w:val="0"/>
          <w:bCs w:val="0"/>
          <w:sz w:val="24"/>
          <w:szCs w:val="24"/>
          <w:highlight w:val="none"/>
          <w:lang w:eastAsia="zh-CN"/>
        </w:rPr>
        <w:t xml:space="preserve">沈亚</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lang w:eastAsia="zh-CN"/>
        </w:rPr>
      </w:pPr>
      <w:r>
        <w:rPr>
          <w:rFonts w:hint="eastAsia" w:asciiTheme="minorEastAsia" w:hAnsiTheme="minorEastAsia" w:eastAsiaTheme="minorEastAsia" w:cstheme="minorEastAsia"/>
          <w:b w:val="0"/>
          <w:bCs w:val="0"/>
          <w:sz w:val="24"/>
          <w:szCs w:val="24"/>
          <w:highlight w:val="none"/>
        </w:rPr>
        <w:t xml:space="preserve">电话：</w:t>
      </w:r>
      <w:r>
        <w:rPr>
          <w:rFonts w:hint="eastAsia" w:asciiTheme="minorEastAsia" w:hAnsiTheme="minorEastAsia" w:eastAsiaTheme="minorEastAsia" w:cstheme="minorEastAsia"/>
          <w:b w:val="0"/>
          <w:bCs w:val="0"/>
          <w:sz w:val="24"/>
          <w:szCs w:val="24"/>
          <w:highlight w:val="none"/>
          <w:lang w:eastAsia="zh-CN"/>
        </w:rPr>
        <w:t xml:space="preserve">13913788808</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37.4 采购人、采购代理机构应当在收到质疑函后 7 个工作日内作出答复，并以书面形式通知质疑供应商和其他有关供应商。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37.5 采购人、采购代理机构处理的其他要求按《政府采购质疑和投诉办法》（中华人民共和国财政部令第 94 号）相关规定执行。 </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38、投诉的提起</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（1）投诉人和被投诉人的姓名或者名称、通讯地址、邮编、联系人及联系电话；</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（2）质疑和质疑答复情况说明及相关证明材料；</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（3）具体、明确的投诉事项和与投诉事项相关的投诉请求；</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（4）事实依据；</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（5）法律依据；</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（6）提起投诉的日期。</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38.3 投诉人为自然人的，投诉书应当由本人签字；投诉人为法人或者其他组织的，投诉书应当由法定代表人、主要负责人，或者其授权代表签字或者盖章，并加盖公章。</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38.4 投诉人提起投诉应当符合下列条件：</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（1）提起投诉前已依法进行质疑；</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（2）投诉书内容符合本办法的规定；</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（3）在投诉有效期限内提起投诉；</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（4）同一投诉事项未经财政部门投诉处理；</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（5）财政部规定的其他条件。</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38.5 供应商投诉的事项不得超出已质疑事项的范围，但基于质疑答复内容提出的投诉事项除外。</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38.6 由采购人所属预算级次的财政部门根据《政府采购质疑和投诉办法》（中华人民共和国财政部令第 94 号）相关规定进行投诉处理。</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九、其他事项 </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39、政府采购政策</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39.1 节能产品和环境标志产品</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Theme="minorEastAsia" w:hAnsiTheme="minorEastAsia" w:eastAsiaTheme="minorEastAsia" w:cstheme="minorEastAsia"/>
          <w:sz w:val="24"/>
          <w:szCs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39.2 </w:t>
      </w:r>
      <w:r>
        <w:rPr>
          <w:rFonts w:hint="eastAsia" w:asciiTheme="minorEastAsia" w:hAnsiTheme="minorEastAsia" w:eastAsiaTheme="minorEastAsia" w:cstheme="minorEastAsia"/>
          <w:sz w:val="24"/>
          <w:szCs w:val="24"/>
          <w:highlight w:val="none"/>
        </w:rPr>
        <w:t xml:space="preserve">小微企业的价格分评审</w:t>
      </w:r>
      <w:r/>
    </w:p>
    <w:p>
      <w:pPr>
        <w:pStyle w:val="810"/>
        <w:ind w:left="0" w:firstLine="420"/>
        <w:jc w:val="both"/>
        <w:spacing w:line="36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t xml:space="preserve">39.2.1 根据《政府采购促进中小企业发展管理办法（财库〔2020〕46号）及《关于贯彻执行绿色采购、促进残疾人就业和支持监狱企业发展有关政策的通知》（苏财购〔2019〕10号）的规定：</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（3）在货物采购项目中，供应商提供的货物既有小型或微型企业制造货物，也有中型或大型企业制造货物的，不享受本办法规定的小微企业价格扶持政策。</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（4）以联合体形式参加政府采购活动，联合体各方均为中小企业的，联合体视同中小企业。其中，联合体各方均为小微企业的，联合体视同小微企业。</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（5）符合中小企业划分标准的个体工商户，在政府采购活动中视同中小企业。</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（6）中小企业划分标准详见“工信部联企业〔2011〕300号通知”。</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（7）中标、中标供应商享受本办法规定的中小企业扶持政策的，《中小企业声明函》应当随中标、成交结果同时公告，接受社会监督。</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（8）以上规定未尽事项，按《政府采购促进中小企业发展管理办法》（财库﹝2020﹞46号）等有关制度规定执行。</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39.2.2 残疾人福利性单位政策</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（3）中标、中标供应商为残疾人福利性单位的，《残疾人福利性单位声明函》应当随中标、成交结果同时公告，接受社会监督。</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39.2.3 监狱企业发展政策</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10"/>
        <w:ind w:left="0" w:firstLine="420"/>
        <w:jc w:val="both"/>
        <w:spacing w:line="36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t xml:space="preserve">39.2.4 专门面向中小企业采购的项目，不再执行价格评审优惠的扶持政策。</w:t>
      </w:r>
      <w:r/>
    </w:p>
    <w:p>
      <w:pPr>
        <w:pStyle w:val="810"/>
        <w:ind w:left="0" w:firstLine="420"/>
        <w:jc w:val="both"/>
        <w:spacing w:line="36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t xml:space="preserve">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40、中标服务费</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40.1 本项目的采购代理服务费由中标单位承担，按采购预算金额计算并支付中标服务费，评委费按实另计；中标单位在领取中标通知书时付清。中标服务收费按差额定率累进法计算：预算金额 100 万元（含）以下部分，收费费率为 1.5%；100 万元～500 万元（含）部分，收费费率为 1.1%；500 万元～1000 万元（含）部分，收费费率为 0.8%；1000 万元～5000 万元（含）部分，收费费率为 0.5%；5000 万元以上部分，收费费率为 0.25%；不足 3000 元，按 3000 元收取中标服务费。</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40.2 中标单位如果未按规定缴纳中标服务费，招标采购单位将保留诉讼的权利。</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41、监督和公证</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42.1 政府有关监督部门将对招投标全过程进行监督。</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42.2 采购代理机构的招标过程将通过公证机关进行公证。</w:t>
      </w:r>
      <w:r/>
    </w:p>
    <w:p>
      <w:pPr>
        <w:pStyle w:val="810"/>
        <w:ind w:left="0" w:firstLine="42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42、未尽事宜</w:t>
      </w:r>
      <w:r/>
    </w:p>
    <w:p>
      <w:pPr>
        <w:pStyle w:val="810"/>
        <w:ind w:left="0" w:firstLine="420"/>
        <w:jc w:val="both"/>
        <w:spacing w:line="36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按《中华人民共和国政府采购法》及其他有关政府采购的法律法规的的规定执行。</w:t>
      </w:r>
      <w:r/>
    </w:p>
    <w:p>
      <w:pPr>
        <w:pStyle w:val="821"/>
        <w:ind w:left="0"/>
        <w:jc w:val="both"/>
        <w:spacing w:before="0" w:line="360" w:lineRule="auto"/>
        <w:rPr>
          <w:rFonts w:hint="default" w:ascii="Times New Roman" w:hAnsi="Times New Roman" w:cs="Times New Roman"/>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sz w:val="21"/>
          <w:highlight w:val="none"/>
        </w:rPr>
      </w:r>
      <w:r/>
    </w:p>
    <w:p>
      <w:pPr>
        <w:jc w:val="center"/>
        <w:rPr>
          <w:rFonts w:hint="default" w:ascii="Times New Roman" w:hAnsi="Times New Roman" w:cs="Times New Roman"/>
          <w:b/>
          <w:bCs/>
          <w:sz w:val="32"/>
          <w:szCs w:val="32"/>
          <w:highlight w:val="none"/>
        </w:rPr>
        <w:outlineLvl w:val="0"/>
      </w:pPr>
      <w:r/>
      <w:bookmarkStart w:id="13" w:name="_Toc159507037"/>
      <w:r>
        <w:rPr>
          <w:rFonts w:hint="default" w:ascii="Times New Roman" w:hAnsi="Times New Roman" w:cs="Times New Roman"/>
          <w:b/>
          <w:bCs/>
          <w:sz w:val="32"/>
          <w:szCs w:val="32"/>
          <w:highlight w:val="none"/>
        </w:rPr>
        <w:t xml:space="preserve">第三章 项目需求</w:t>
      </w:r>
      <w:bookmarkEnd w:id="13"/>
      <w:r/>
      <w:r/>
    </w:p>
    <w:p>
      <w:pPr>
        <w:pStyle w:val="1055"/>
        <w:ind w:firstLine="0"/>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80"/>
        <w:spacing w:line="360" w:lineRule="auto"/>
        <w:rPr>
          <w:rFonts w:hint="default" w:ascii="Times New Roman" w:hAnsi="Times New Roman" w:cs="Times New Roman"/>
          <w:sz w:val="24"/>
          <w:szCs w:val="24"/>
          <w:highlight w:val="none"/>
        </w:rPr>
      </w:pPr>
      <w:r/>
      <w:bookmarkStart w:id="14" w:name="_Hlk121126111"/>
      <w:r>
        <w:rPr>
          <w:rFonts w:hint="default" w:ascii="Times New Roman" w:hAnsi="Times New Roman" w:cs="Times New Roman"/>
          <w:sz w:val="24"/>
          <w:szCs w:val="24"/>
          <w:highlight w:val="none"/>
          <w:lang w:eastAsia="zh-CN"/>
        </w:rPr>
        <w:t xml:space="preserve">苏州一投建设发展有限公司</w:t>
      </w:r>
      <w:r>
        <w:rPr>
          <w:rFonts w:hint="default" w:ascii="Times New Roman" w:hAnsi="Times New Roman" w:cs="Times New Roman"/>
          <w:sz w:val="24"/>
          <w:szCs w:val="24"/>
          <w:highlight w:val="none"/>
        </w:rPr>
        <w:t xml:space="preserve">受太仓市实验高级中学的委托，就其</w:t>
      </w:r>
      <w:r>
        <w:rPr>
          <w:rFonts w:hint="default" w:ascii="Times New Roman" w:hAnsi="Times New Roman" w:cs="Times New Roman"/>
          <w:bCs/>
          <w:sz w:val="24"/>
          <w:szCs w:val="24"/>
          <w:highlight w:val="none"/>
        </w:rPr>
        <w:t xml:space="preserve">太仓市实验高级中学安保服务</w:t>
      </w:r>
      <w:r>
        <w:rPr>
          <w:rFonts w:hint="default" w:ascii="Times New Roman" w:hAnsi="Times New Roman" w:cs="Times New Roman"/>
          <w:sz w:val="24"/>
          <w:szCs w:val="24"/>
          <w:highlight w:val="none"/>
        </w:rPr>
        <w:t xml:space="preserve">进行国内公开招标。欢迎有资格的投标人前来参加投标。</w:t>
      </w:r>
      <w:r/>
    </w:p>
    <w:p>
      <w:pPr>
        <w:numPr>
          <w:ilvl w:val="0"/>
          <w:numId w:val="1"/>
        </w:numPr>
        <w:ind w:firstLine="482"/>
        <w:spacing w:line="360" w:lineRule="auto"/>
        <w:rPr>
          <w:rFonts w:hint="default" w:ascii="Times New Roman" w:hAnsi="Times New Roman" w:cs="Times New Roman"/>
          <w:sz w:val="24"/>
          <w:szCs w:val="24"/>
          <w:highlight w:val="none"/>
          <w:lang w:eastAsia="zh-CN"/>
        </w:rPr>
      </w:pPr>
      <w:r>
        <w:rPr>
          <w:rFonts w:hint="default" w:ascii="Times New Roman" w:hAnsi="Times New Roman" w:cs="Times New Roman"/>
          <w:b/>
          <w:sz w:val="24"/>
          <w:szCs w:val="24"/>
          <w:highlight w:val="none"/>
        </w:rPr>
        <w:t xml:space="preserve">招标编号：</w:t>
      </w:r>
      <w:r>
        <w:rPr>
          <w:rFonts w:hint="eastAsia" w:ascii="Times New Roman" w:cs="Times New Roman"/>
          <w:sz w:val="24"/>
          <w:szCs w:val="24"/>
          <w:highlight w:val="none"/>
          <w:lang w:eastAsia="zh-CN"/>
        </w:rPr>
        <w:t xml:space="preserve">JSZC-320585-SUYT-G2026-0001</w:t>
      </w:r>
      <w:r/>
    </w:p>
    <w:p>
      <w:pPr>
        <w:numPr>
          <w:ilvl w:val="0"/>
          <w:numId w:val="0"/>
        </w:numPr>
        <w:ind w:firstLine="482"/>
        <w:spacing w:line="360"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二、招标项目：</w:t>
      </w:r>
      <w:r/>
    </w:p>
    <w:p>
      <w:pPr>
        <w:ind w:firstLine="480"/>
        <w:spacing w:line="360" w:lineRule="auto"/>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 xml:space="preserve">1、项目名称：太仓市实验高级中学安保服务。</w:t>
      </w:r>
      <w:r/>
    </w:p>
    <w:p>
      <w:pPr>
        <w:ind w:firstLine="480"/>
        <w:spacing w:line="360" w:lineRule="auto"/>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 xml:space="preserve">2、预算金额：人民币</w:t>
      </w:r>
      <w:r>
        <w:rPr>
          <w:rFonts w:hint="default" w:ascii="Times New Roman" w:hAnsi="Times New Roman" w:cs="Times New Roman"/>
          <w:bCs/>
          <w:sz w:val="24"/>
          <w:szCs w:val="24"/>
          <w:highlight w:val="none"/>
          <w:lang w:eastAsia="zh-CN"/>
        </w:rPr>
        <w:t xml:space="preserve">112</w:t>
      </w:r>
      <w:r>
        <w:rPr>
          <w:rFonts w:hint="default" w:ascii="Times New Roman" w:hAnsi="Times New Roman" w:cs="Times New Roman"/>
          <w:bCs/>
          <w:sz w:val="24"/>
          <w:szCs w:val="24"/>
          <w:highlight w:val="none"/>
        </w:rPr>
        <w:t xml:space="preserve">万元。</w:t>
      </w:r>
      <w:r/>
    </w:p>
    <w:p>
      <w:pPr>
        <w:ind w:firstLine="480"/>
        <w:spacing w:line="360" w:lineRule="auto"/>
        <w:rPr>
          <w:rFonts w:hint="default" w:ascii="Times New Roman" w:hAnsi="Times New Roman" w:eastAsia="宋体" w:cs="Times New Roman"/>
          <w:bCs/>
          <w:sz w:val="24"/>
          <w:szCs w:val="24"/>
          <w:highlight w:val="none"/>
          <w:lang w:val="en-US" w:eastAsia="zh-CN"/>
        </w:rPr>
      </w:pPr>
      <w:r>
        <w:rPr>
          <w:rFonts w:hint="default" w:ascii="Times New Roman" w:hAnsi="Times New Roman" w:cs="Times New Roman"/>
          <w:bCs/>
          <w:sz w:val="24"/>
          <w:szCs w:val="24"/>
          <w:highlight w:val="none"/>
          <w:lang w:val="en-US" w:eastAsia="zh-CN"/>
        </w:rPr>
        <w:t xml:space="preserve">3</w:t>
      </w:r>
      <w:r>
        <w:rPr>
          <w:rFonts w:hint="default" w:ascii="Times New Roman" w:hAnsi="Times New Roman" w:cs="Times New Roman"/>
          <w:bCs/>
          <w:sz w:val="24"/>
          <w:szCs w:val="24"/>
          <w:highlight w:val="none"/>
        </w:rPr>
        <w:t xml:space="preserve">、</w:t>
      </w:r>
      <w:r>
        <w:rPr>
          <w:rFonts w:hint="default" w:ascii="Times New Roman" w:hAnsi="Times New Roman" w:eastAsia="宋体" w:cs="Times New Roman"/>
          <w:sz w:val="24"/>
          <w:szCs w:val="24"/>
          <w:lang w:val="zh-CN"/>
        </w:rPr>
        <w:t xml:space="preserve">最高限价</w:t>
      </w:r>
      <w:r>
        <w:rPr>
          <w:rFonts w:hint="default" w:ascii="Times New Roman" w:hAnsi="Times New Roman" w:cs="Times New Roman"/>
          <w:sz w:val="24"/>
          <w:szCs w:val="24"/>
          <w:lang w:val="en-US" w:eastAsia="zh-CN"/>
        </w:rPr>
        <w:t xml:space="preserve">:</w:t>
      </w:r>
      <w:r>
        <w:rPr>
          <w:rFonts w:hint="default" w:ascii="Times New Roman" w:hAnsi="Times New Roman" w:cs="Times New Roman"/>
          <w:bCs/>
          <w:sz w:val="24"/>
          <w:szCs w:val="24"/>
          <w:highlight w:val="none"/>
        </w:rPr>
        <w:t xml:space="preserve">人民币</w:t>
      </w:r>
      <w:r>
        <w:rPr>
          <w:rFonts w:hint="default" w:ascii="Times New Roman" w:hAnsi="Times New Roman" w:cs="Times New Roman"/>
          <w:bCs/>
          <w:sz w:val="24"/>
          <w:szCs w:val="24"/>
          <w:highlight w:val="none"/>
          <w:lang w:eastAsia="zh-CN"/>
        </w:rPr>
        <w:t xml:space="preserve">112</w:t>
      </w:r>
      <w:r>
        <w:rPr>
          <w:rFonts w:hint="default" w:ascii="Times New Roman" w:hAnsi="Times New Roman" w:cs="Times New Roman"/>
          <w:bCs/>
          <w:sz w:val="24"/>
          <w:szCs w:val="24"/>
          <w:highlight w:val="none"/>
        </w:rPr>
        <w:t xml:space="preserve">万元。</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4</w:t>
      </w:r>
      <w:r>
        <w:rPr>
          <w:rFonts w:hint="default" w:ascii="Times New Roman" w:hAnsi="Times New Roman" w:cs="Times New Roman"/>
          <w:sz w:val="24"/>
          <w:szCs w:val="24"/>
          <w:highlight w:val="none"/>
        </w:rPr>
        <w:t xml:space="preserve">、合同履约期限：12个月。</w:t>
      </w:r>
      <w:r/>
    </w:p>
    <w:p>
      <w:pPr>
        <w:ind w:firstLine="482"/>
        <w:spacing w:line="360"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三、采购需求：</w:t>
      </w:r>
      <w:r/>
    </w:p>
    <w:p>
      <w:pPr>
        <w:ind w:firstLine="482"/>
        <w:spacing w:line="360" w:lineRule="auto"/>
        <w:widowControl/>
        <w:rPr>
          <w:rFonts w:hint="default" w:ascii="Times New Roman" w:hAnsi="Times New Roman" w:cs="Times New Roman"/>
          <w:b/>
          <w:bCs/>
          <w:sz w:val="24"/>
          <w:szCs w:val="24"/>
          <w:highlight w:val="none"/>
        </w:rPr>
      </w:pPr>
      <w:r/>
      <w:bookmarkStart w:id="15" w:name="_Hlk123634864"/>
      <w:r>
        <w:rPr>
          <w:rFonts w:hint="default" w:ascii="Times New Roman" w:hAnsi="Times New Roman" w:cs="Times New Roman"/>
          <w:b/>
          <w:bCs/>
          <w:sz w:val="24"/>
          <w:szCs w:val="24"/>
          <w:highlight w:val="none"/>
        </w:rPr>
        <w:t xml:space="preserve">（一）服务内容</w:t>
      </w:r>
      <w:bookmarkEnd w:id="15"/>
      <w:r/>
      <w:r/>
    </w:p>
    <w:p>
      <w:pPr>
        <w:ind w:firstLine="48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中标单位负责校园日常秩序维护，安全保卫，校门口进出车辆及人员的管理、消防巡查、安全保卫的临时性工作及其他事宜。太仓市实验高级中学校区：门岗保安、宿舍保安。拟派项目保安人员必须全部持有保安员资格证书，年龄18-50周岁。保安服务工作采用全年每天24小时工作制。主要服务内容包括：校园日常秩序维护，安全保卫，校门口进出车辆及人员的管理、消防巡查以及住宿学生的保安管理等。</w:t>
      </w:r>
      <w:r/>
    </w:p>
    <w:p>
      <w:pPr>
        <w:ind w:firstLine="48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门岗保安、宿舍保安总人数不少于20人</w:t>
      </w:r>
      <w:r>
        <w:rPr>
          <w:rFonts w:hint="default" w:ascii="Times New Roman" w:hAnsi="Times New Roman" w:cs="Times New Roman"/>
          <w:bCs/>
          <w:sz w:val="24"/>
          <w:szCs w:val="24"/>
          <w:highlight w:val="none"/>
        </w:rPr>
        <w:t xml:space="preserve">（其中：门岗保安员12人</w:t>
      </w:r>
      <w:r>
        <w:rPr>
          <w:rFonts w:hint="default" w:ascii="Times New Roman" w:hAnsi="Times New Roman" w:cs="Times New Roman"/>
          <w:bCs/>
          <w:sz w:val="24"/>
          <w:szCs w:val="24"/>
          <w:highlight w:val="none"/>
          <w:lang w:eastAsia="zh-CN"/>
        </w:rPr>
        <w:t xml:space="preserve">（</w:t>
      </w:r>
      <w:r>
        <w:rPr>
          <w:rFonts w:hint="default" w:ascii="Times New Roman" w:hAnsi="Times New Roman" w:cs="Times New Roman"/>
          <w:bCs/>
          <w:sz w:val="24"/>
          <w:szCs w:val="24"/>
          <w:highlight w:val="none"/>
          <w:lang w:val="en-US" w:eastAsia="zh-CN"/>
        </w:rPr>
        <w:t xml:space="preserve">含1名主校门女性门岗保安员</w:t>
      </w:r>
      <w:r>
        <w:rPr>
          <w:rFonts w:hint="default" w:ascii="Times New Roman" w:hAnsi="Times New Roman" w:cs="Times New Roman"/>
          <w:bCs/>
          <w:sz w:val="24"/>
          <w:szCs w:val="24"/>
          <w:highlight w:val="none"/>
          <w:lang w:eastAsia="zh-CN"/>
        </w:rPr>
        <w:t xml:space="preserve">）</w:t>
      </w:r>
      <w:r>
        <w:rPr>
          <w:rFonts w:hint="default" w:ascii="Times New Roman" w:hAnsi="Times New Roman" w:cs="Times New Roman"/>
          <w:bCs/>
          <w:sz w:val="24"/>
          <w:szCs w:val="24"/>
          <w:highlight w:val="none"/>
        </w:rPr>
        <w:t xml:space="preserve">、宿管保安员8人，不含项目负责人）</w:t>
      </w:r>
      <w:r>
        <w:rPr>
          <w:rFonts w:hint="default" w:ascii="Times New Roman" w:hAnsi="Times New Roman" w:cs="Times New Roman"/>
          <w:sz w:val="24"/>
          <w:szCs w:val="24"/>
          <w:highlight w:val="none"/>
        </w:rPr>
        <w:t xml:space="preserve">。</w:t>
      </w:r>
      <w:r/>
    </w:p>
    <w:p>
      <w:pPr>
        <w:ind w:firstLine="482"/>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（二）服务地点</w:t>
      </w:r>
      <w:r/>
    </w:p>
    <w:p>
      <w:pPr>
        <w:ind w:firstLine="420"/>
        <w:spacing w:line="360" w:lineRule="auto"/>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rPr>
        <w:t xml:space="preserve">项目位于太仓市实验高级中学，学校地点：</w:t>
      </w:r>
      <w:r>
        <w:rPr>
          <w:rFonts w:hint="default" w:ascii="Times New Roman" w:hAnsi="Times New Roman" w:cs="Times New Roman"/>
          <w:sz w:val="24"/>
          <w:szCs w:val="24"/>
          <w:highlight w:val="none"/>
          <w:lang w:eastAsia="zh-CN"/>
        </w:rPr>
        <w:t xml:space="preserve">太仓市上海东路688号</w:t>
      </w:r>
      <w:r/>
    </w:p>
    <w:p>
      <w:pPr>
        <w:ind w:firstLine="482"/>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（三）服务时间</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1、门岗保安：白班和夜班皆4人4岗（常白班队长一名），24小时全天在岗，全年无休。上放学高峰期适当增加人手，确保主校门不少于3人，副校门不少于2人。</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2、宿管保安：确保学生在校和采购单位要求期间8人24小时全天在岗。</w:t>
      </w:r>
      <w:r/>
    </w:p>
    <w:p>
      <w:pPr>
        <w:ind w:firstLine="482"/>
        <w:spacing w:line="360" w:lineRule="auto"/>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（四）保安服务要求</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校园日常秩序维护，安全保卫，校门口进出车辆及人员的管理，同时做好校园内学生宿舍的各项安全防范与日常综合管理，具体要求如下：</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1、站岗制度</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固定岗的责任区为：校门，站立值班时间为：上午06:00 —上午07:00、下午17:00 —下午18:00，晚上21:30 —晚上22:10按规着装、衣领、扣子、帽子、领带、防卫器械等均需佩戴整齐。站岗时不得用餐、抽烟、不与人闲聊，不随意接听电话，不做与工作无关的事情，保持良好的形象。</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2、进出人员管理制度</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（1）凡来访人员、学生家长，须问清情况填写好来访登记表，征得有关人员同意，方可放行。</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（2）学校保卫人员应认真查验进入学校的外来不明人员的相关证件，严禁闲杂人员、推销商品人员、不明身份人员进入学校，确保校园平安。</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（3）在校时间不允许学生外出，学生确因特殊情况需出校门时，须有班主任签字的请假条，或有班主任及家长陪同方可离校。学校保卫人员查验后方可放行并将请假条存档备查。</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3、车辆准入放行制度</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学校在正常教育</w:t>
      </w:r>
      <w:r>
        <w:rPr>
          <w:rFonts w:hint="default" w:ascii="Times New Roman" w:hAnsi="Times New Roman" w:cs="Times New Roman"/>
          <w:sz w:val="24"/>
          <w:szCs w:val="24"/>
          <w:highlight w:val="none"/>
        </w:rPr>
        <w:fldChar w:fldCharType="begin"/>
      </w:r>
      <w:r>
        <w:rPr>
          <w:rFonts w:hint="default" w:ascii="Times New Roman" w:hAnsi="Times New Roman" w:cs="Times New Roman"/>
          <w:sz w:val="24"/>
          <w:szCs w:val="24"/>
          <w:highlight w:val="none"/>
        </w:rPr>
        <w:instrText xml:space="preserve"> HYPERLINK "http://www.5ykj.com/Health/" \t "_blank" </w:instrText>
      </w:r>
      <w:r>
        <w:rPr>
          <w:rFonts w:hint="default" w:ascii="Times New Roman" w:hAnsi="Times New Roman" w:cs="Times New Roman"/>
          <w:sz w:val="24"/>
          <w:szCs w:val="24"/>
          <w:highlight w:val="none"/>
        </w:rPr>
        <w:fldChar w:fldCharType="separate"/>
      </w:r>
      <w:r>
        <w:rPr>
          <w:rFonts w:hint="default" w:ascii="Times New Roman" w:hAnsi="Times New Roman" w:cs="Times New Roman"/>
          <w:sz w:val="24"/>
          <w:szCs w:val="24"/>
          <w:highlight w:val="none"/>
        </w:rPr>
        <w:t xml:space="preserve">教学</w:t>
      </w:r>
      <w:r>
        <w:rPr>
          <w:rFonts w:hint="default" w:ascii="Times New Roman" w:hAnsi="Times New Roman" w:cs="Times New Roman"/>
          <w:sz w:val="24"/>
          <w:szCs w:val="24"/>
          <w:highlight w:val="none"/>
        </w:rPr>
        <w:fldChar w:fldCharType="end"/>
      </w:r>
      <w:r>
        <w:rPr>
          <w:rFonts w:hint="default" w:ascii="Times New Roman" w:hAnsi="Times New Roman" w:cs="Times New Roman"/>
          <w:sz w:val="24"/>
          <w:szCs w:val="24"/>
          <w:highlight w:val="none"/>
        </w:rPr>
        <w:t xml:space="preserve">工作期间，应关闭好校门。严格控制学生在校期间，家长接送学生的自行车、三轮车和机动车辆进入校园。</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确因工作需要进入学校的车辆或其他为学校服务的车辆，需经学校领导同意后，填写车辆登记单后，在保卫人员的引导下停放到指定地点。</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4、巡逻制度</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每天早上开门、放学后关门、深夜三个时间段做到定时全校巡逻，及时做好《安全巡逻日志》记载。</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如发现可疑、异常情况或恶劣天气，要及时汇报或报警。</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放学后，应协助学校做好清校工作，规劝个别学生离校回家，不得在校逗留。</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5、其他工作要求</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（1）学校保安人员肩负着学校安全保卫重任，要严格遵守保安职业道德，</w:t>
      </w:r>
      <w:r>
        <w:rPr>
          <w:rFonts w:hint="default" w:ascii="Times New Roman" w:hAnsi="Times New Roman" w:cs="Times New Roman"/>
          <w:b/>
          <w:bCs/>
          <w:sz w:val="24"/>
          <w:szCs w:val="24"/>
          <w:highlight w:val="none"/>
        </w:rPr>
        <w:t xml:space="preserve">门岗保安白班06：00- 22:00四人四岗（不含保安队长1名），夜班22:00到次日早上06:00四人四岗，</w:t>
      </w:r>
      <w:r>
        <w:rPr>
          <w:rFonts w:hint="default" w:ascii="Times New Roman" w:hAnsi="Times New Roman" w:cs="Times New Roman"/>
          <w:sz w:val="24"/>
          <w:szCs w:val="24"/>
          <w:highlight w:val="none"/>
        </w:rPr>
        <w:t xml:space="preserve">全年无休。同时做好邮件快递的收发登记工作,不得擅自离岗。</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（2）白天巡逻次数不少于 8 次，夜间巡逻次数不少于 5次，重点部位、重点时间以及特殊情况加强巡逻，及时发现和处理不安全隐患；在遇到突发事件时，及时报告校方与警方，必要时采取正当防卫，防止事态扩大，协助保护现场和证据；安全巡逻有记录有检查。</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（3）学生在上学放学时间内，要疏通车辆预防堵塞，有效疏通学生拥挤现象。按时做好大门的开关工作。</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（4）态度和蔼、语言谦虚，不急不躁，认真细致。</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（5）完成项目位于太仓市实验高级中学，学校地点：太仓市上海东路688号领导交办的其它工作，既要明确责任分工，又要加强合作。</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（6）妥善保管好头盔、橡皮警棍、防割手套、催泪喷雾器、叉等应急器械。</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（7）保安人员应在校长、主任的领导下，严格执行好以上制度。如因工作失职，造成学校财产损失或人员伤亡，需承担相应责任。</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（8）做好门卫室及周边卫生保洁工作。教师、学生离校后及时开启安保监控设备，做好楼道照明，大楼大门开关等工作。</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6、宿管保安工作制度</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（1）不得擅自离开岗位，严格遵守请销假制度。</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（2）负责宿舍区域检查及安全维护，学生上课和晚自修时，必须对整幢宿舍楼进行安全检查，并要检查是否有学生留在宿舍。因生病滞留宿舍同学需登记并上报行政值班室。</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（3）准时开灯、熄灯，要确保宿舍区的就寝纪律，想办法维持好宿舍区的安静。</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（4）做好宿舍大门的安全保卫工作，按时开启、锁好大门。外来人员未经学校有关部门同意一律不准进入宿舍。</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（5）维持宿舍楼的整洁，定期检查宿舍里的水龙头是否关闭、漏水，保证各楼层卫生饮用水的供应。</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（6）经常检查宿舍门窗等公物的使用情况，发现损坏及时向总务处保修，确保学生的财产安全。</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（7）对违反学校规章制度的行为要及时制止，并记录上报德育办或校行政领导。</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（8）严禁异性同学串宿舍。</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（9）遇到特殊情况，如学生生病，要组织人力尽快送医院；如遇火灾等事故，要及时报火警电话119，同时快速开启大门，有序疏散学生，并及时与学校领导联系。</w:t>
      </w:r>
      <w:r/>
    </w:p>
    <w:p>
      <w:pPr>
        <w:ind w:firstLine="482"/>
        <w:spacing w:line="360" w:lineRule="auto"/>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（五）配备人员基本要求</w:t>
      </w:r>
      <w:r/>
    </w:p>
    <w:p>
      <w:pPr>
        <w:ind w:firstLine="420"/>
        <w:spacing w:line="360" w:lineRule="auto"/>
        <w:widowControl/>
        <w:rPr>
          <w:rFonts w:hint="default" w:ascii="Times New Roman" w:hAnsi="Times New Roman" w:cs="Times New Roman"/>
          <w:sz w:val="24"/>
          <w:szCs w:val="24"/>
          <w:highlight w:val="none"/>
        </w:rPr>
      </w:pPr>
      <w:r/>
      <w:bookmarkStart w:id="16" w:name="_Hlk165278122"/>
      <w:r/>
      <w:bookmarkStart w:id="17" w:name="_Hlk133137345"/>
      <w:r>
        <w:rPr>
          <w:rFonts w:hint="default" w:ascii="Times New Roman" w:hAnsi="Times New Roman" w:cs="Times New Roman"/>
          <w:sz w:val="24"/>
          <w:szCs w:val="24"/>
          <w:highlight w:val="none"/>
        </w:rPr>
        <w:t xml:space="preserve">（1）派驻服务的门岗保安员，男性为主，</w:t>
      </w:r>
      <w:r>
        <w:rPr>
          <w:rFonts w:hint="default" w:ascii="Times New Roman" w:hAnsi="Times New Roman" w:cs="Times New Roman"/>
          <w:color w:val="000000" w:themeColor="text1"/>
          <w:sz w:val="24"/>
          <w:szCs w:val="24"/>
          <w:highlight w:val="none"/>
          <w14:textFill>
            <w14:solidFill>
              <w14:schemeClr w14:val="tx1"/>
            </w14:solidFill>
          </w14:textFill>
        </w:rPr>
        <w:t xml:space="preserve">女性</w:t>
      </w:r>
      <w:r>
        <w:rPr>
          <w:rFonts w:hint="default" w:ascii="Times New Roman" w:hAnsi="Times New Roman" w:cs="Times New Roman"/>
          <w:sz w:val="24"/>
          <w:szCs w:val="24"/>
          <w:highlight w:val="none"/>
        </w:rPr>
        <w:t xml:space="preserve">为辅（应配置不少于1名女性保安，配备在主校门），具有初中及以上学历，持有全国统一的《保安员证》；年龄50周岁以下(本地户籍优先)，已婚且婚姻状况稳定人员优先；</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（2）派驻服务的门卫保安员，应身体健康，体检合格；形象佳，外貌端正，体形无明显缺陷；无纹身，无传染疾病，无口吃，无精神病史；服从学校管理，有工作责任心、举止文明、礼貌待人；</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（3）所有进驻的人员政审合格，政治面貌清白，不得有任何不良记录（以公安部门审核为准）；</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（4）中标单位员工需统一着装上岗，其着装费用由中标单位承担；</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（5）中标单位需与到岗队员签订正式《劳动合同》且为其缴纳社医保；</w:t>
      </w:r>
      <w:r/>
    </w:p>
    <w:p>
      <w:pPr>
        <w:ind w:firstLine="422"/>
        <w:spacing w:line="360" w:lineRule="auto"/>
        <w:widowControl/>
        <w:rPr>
          <w:rFonts w:hint="default" w:ascii="Times New Roman" w:hAnsi="Times New Roman" w:cs="Times New Roman"/>
          <w:b/>
          <w:sz w:val="24"/>
          <w:szCs w:val="24"/>
          <w:highlight w:val="none"/>
        </w:rPr>
      </w:pPr>
      <w:r>
        <w:rPr>
          <w:rFonts w:hint="default" w:ascii="Times New Roman" w:hAnsi="Times New Roman" w:cs="Times New Roman"/>
          <w:b/>
          <w:bCs/>
          <w:sz w:val="24"/>
          <w:szCs w:val="24"/>
          <w:highlight w:val="none"/>
        </w:rPr>
        <w:t xml:space="preserve">（6）项目负责人：有</w:t>
      </w:r>
      <w:r>
        <w:rPr>
          <w:rFonts w:hint="default" w:ascii="Times New Roman" w:hAnsi="Times New Roman" w:cs="Times New Roman"/>
          <w:b/>
          <w:sz w:val="24"/>
          <w:szCs w:val="24"/>
          <w:highlight w:val="none"/>
        </w:rPr>
        <w:t xml:space="preserve">学校安全管理和人员管理经验，主要职责包括：组织和协调项目的运作。①具备较好的沟通能力和一定的学历文化水平；②普通话标准的优先；③熟练掌握消防设施和监控设备操作；④负责组织人员培训、防暴演练；</w:t>
      </w:r>
      <w:r>
        <w:rPr>
          <w:rFonts w:hint="default" w:ascii="Times New Roman" w:hAnsi="Times New Roman" w:eastAsia="仿宋" w:cs="Times New Roman"/>
          <w:b/>
          <w:sz w:val="24"/>
          <w:szCs w:val="24"/>
          <w:highlight w:val="none"/>
        </w:rPr>
        <w:t xml:space="preserve">⑤</w:t>
      </w:r>
      <w:r>
        <w:rPr>
          <w:rFonts w:hint="default" w:ascii="Times New Roman" w:hAnsi="Times New Roman" w:cs="Times New Roman"/>
          <w:b/>
          <w:sz w:val="24"/>
          <w:szCs w:val="24"/>
          <w:highlight w:val="none"/>
        </w:rPr>
        <w:t xml:space="preserve">具备良好的应急（救援）、处理突发事件处置能力等。⑥具备公在共场所安检工作经验或者能力的，能甄别并防止危险品流入校园。⑦具备保安员相关的高级技能。⑧具备排查安全隐患的能力。</w:t>
      </w:r>
      <w:r/>
    </w:p>
    <w:p>
      <w:pPr>
        <w:ind w:firstLine="422"/>
        <w:spacing w:line="360" w:lineRule="auto"/>
        <w:widowControl/>
        <w:rPr>
          <w:rFonts w:hint="default" w:ascii="Times New Roman" w:hAnsi="Times New Roman" w:cs="Times New Roman"/>
          <w:b/>
          <w:sz w:val="24"/>
          <w:szCs w:val="24"/>
          <w:highlight w:val="none"/>
        </w:rPr>
      </w:pPr>
      <w:r>
        <w:rPr>
          <w:rFonts w:hint="default" w:ascii="Times New Roman" w:hAnsi="Times New Roman" w:cs="Times New Roman"/>
          <w:b/>
          <w:bCs/>
          <w:sz w:val="24"/>
          <w:szCs w:val="24"/>
          <w:highlight w:val="none"/>
        </w:rPr>
        <w:t xml:space="preserve">（7）保安队长：有</w:t>
      </w:r>
      <w:r>
        <w:rPr>
          <w:rFonts w:hint="default" w:ascii="Times New Roman" w:hAnsi="Times New Roman" w:cs="Times New Roman"/>
          <w:b/>
          <w:sz w:val="24"/>
          <w:szCs w:val="24"/>
          <w:highlight w:val="none"/>
        </w:rPr>
        <w:t xml:space="preserve">学校安全管理经验，主要职责包括：熟悉服务单位设施设备和人员情况、保安员考勤、保安员月考核、召开保安员会议、消防系统、CK系统检查与故障排查、熟练掌握监控调取等。①具备保安员相关的高级技能；②具备较好的沟通能力和一定的学历文化水平；③熟练掌握消防设施和监控设备操作；④具备良好的应急（救援）能力。</w:t>
      </w:r>
      <w:r/>
    </w:p>
    <w:p>
      <w:pPr>
        <w:ind w:firstLine="422"/>
        <w:spacing w:line="360" w:lineRule="auto"/>
        <w:widowControl/>
        <w:rPr>
          <w:rFonts w:hint="default" w:ascii="Times New Roman" w:hAnsi="Times New Roman" w:cs="Times New Roman"/>
          <w:b/>
          <w:bCs/>
          <w:sz w:val="24"/>
          <w:szCs w:val="24"/>
          <w:highlight w:val="none"/>
        </w:rPr>
      </w:pPr>
      <w:r>
        <w:rPr>
          <w:rFonts w:hint="default" w:ascii="Times New Roman" w:hAnsi="Times New Roman" w:cs="Times New Roman"/>
          <w:b/>
          <w:sz w:val="24"/>
          <w:szCs w:val="24"/>
          <w:highlight w:val="none"/>
        </w:rPr>
        <w:t xml:space="preserve">（</w:t>
      </w:r>
      <w:r>
        <w:rPr>
          <w:rFonts w:hint="default" w:ascii="Times New Roman" w:hAnsi="Times New Roman" w:cs="Times New Roman"/>
          <w:b/>
          <w:bCs/>
          <w:sz w:val="24"/>
          <w:szCs w:val="24"/>
          <w:highlight w:val="none"/>
        </w:rPr>
        <w:t xml:space="preserve">8）保安员（不包括项目负责人和保安队长）：</w:t>
      </w:r>
      <w:r/>
    </w:p>
    <w:p>
      <w:pPr>
        <w:ind w:firstLine="422"/>
        <w:spacing w:line="360" w:lineRule="auto"/>
        <w:widowControl/>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①具备安全防范意识，能规范巡检，消除火灾等风险。能较快熟悉本项目各类疏散通道和逃生设施，能操作消防设施。②能处理处置人员伤害、财物损失等突发情况，实施必要的急救、简单护理，掌握相关知识和技能。③有一定的文化水平；④普通话标准的优先。</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（9）中标单位配备一名项目负责人驻点服务单位，管理日常的保安管理工作；</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（10）所有进驻的人员均需与学校签订保密协议；</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（11）宿管保安要求均为女性，年龄50周岁以下(本地户籍优先)，具有初中及以上学历，身体健康，五官端正。</w:t>
      </w:r>
      <w:bookmarkEnd w:id="16"/>
      <w:r/>
      <w:r/>
    </w:p>
    <w:p>
      <w:pPr>
        <w:pStyle w:val="1094"/>
        <w:spacing w:line="360" w:lineRule="auto"/>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 xml:space="preserve">3、中标单位派驻保安人员如果不符合条件或经采购单位考核不合格的，采购单位有权要求中标单位更换保安人员。</w:t>
      </w:r>
      <w:bookmarkEnd w:id="17"/>
      <w:r/>
      <w:r/>
    </w:p>
    <w:p>
      <w:pPr>
        <w:ind w:firstLine="422"/>
        <w:spacing w:line="360" w:lineRule="auto"/>
        <w:widowControl/>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（六）承担风险：</w:t>
      </w:r>
      <w:r/>
    </w:p>
    <w:p>
      <w:pPr>
        <w:ind w:firstLine="420"/>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1.人员在岗履行工作职责期间，发生自身伤害、伤亡，</w:t>
      </w:r>
      <w:bookmarkStart w:id="18" w:name="_Hlk97552282"/>
      <w:r>
        <w:rPr>
          <w:rFonts w:hint="default" w:ascii="Times New Roman" w:hAnsi="Times New Roman" w:eastAsia="宋体" w:cs="Times New Roman"/>
          <w:sz w:val="24"/>
          <w:szCs w:val="24"/>
          <w:highlight w:val="none"/>
        </w:rPr>
        <w:t xml:space="preserve">均由保安公司负责处理并承担经济和道义上的责任，学校不承担任何责任。</w:t>
      </w:r>
      <w:bookmarkEnd w:id="18"/>
      <w:r/>
      <w:r/>
    </w:p>
    <w:p>
      <w:pPr>
        <w:ind w:firstLine="420"/>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2.保安公司违反国家相关法规，与聘用人员发生纠纷，均由保安公司负责调解与处理，学校不承担责任。</w:t>
      </w:r>
      <w:r/>
    </w:p>
    <w:p>
      <w:pPr>
        <w:ind w:firstLine="420"/>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w:t>
      </w:r>
      <w:bookmarkStart w:id="19" w:name="_Hlk97552257"/>
      <w:r>
        <w:rPr>
          <w:rFonts w:hint="default" w:ascii="Times New Roman" w:hAnsi="Times New Roman" w:eastAsia="宋体" w:cs="Times New Roman"/>
          <w:sz w:val="24"/>
          <w:szCs w:val="24"/>
          <w:highlight w:val="none"/>
        </w:rPr>
        <w:t xml:space="preserve">人员在岗履行工作职责期间，</w:t>
      </w:r>
      <w:bookmarkEnd w:id="19"/>
      <w:r>
        <w:rPr>
          <w:rFonts w:hint="default" w:ascii="Times New Roman" w:hAnsi="Times New Roman" w:eastAsia="宋体" w:cs="Times New Roman"/>
          <w:sz w:val="24"/>
          <w:szCs w:val="24"/>
          <w:highlight w:val="none"/>
        </w:rPr>
        <w:t xml:space="preserve">因操作学校设施设备不当，造成人员伤害、物品受损，均由保安公司负责处理并承担经济和道义上的责任，学校不承担任何责任。</w:t>
      </w:r>
      <w:r/>
    </w:p>
    <w:p>
      <w:pPr>
        <w:ind w:firstLine="482"/>
        <w:spacing w:line="360" w:lineRule="auto"/>
        <w:widowControl/>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（七）其他要求</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1、中标单位聘用员工要求：中标单位提供具有一定专业素质、反应敏捷、身体健康、能够胜任本职工作的专业保安队伍。</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2、中标单位应加强对单位建筑物外围设施的巡查，及时提出外围设施的保养、维护更新建议。</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3、保安器材（含防暴器械）等由中标单位提供，中标单位在报价时应考虑。</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w:t>
      </w:r>
      <w:r>
        <w:rPr>
          <w:rFonts w:hint="default" w:ascii="Times New Roman" w:hAnsi="Times New Roman" w:cs="Times New Roman"/>
          <w:bCs/>
          <w:sz w:val="24"/>
          <w:szCs w:val="24"/>
          <w:highlight w:val="none"/>
        </w:rPr>
        <w:t xml:space="preserve">中标单位应</w:t>
      </w:r>
      <w:r>
        <w:rPr>
          <w:rFonts w:hint="default" w:ascii="Times New Roman" w:hAnsi="Times New Roman" w:cs="Times New Roman"/>
          <w:sz w:val="24"/>
          <w:szCs w:val="24"/>
          <w:highlight w:val="none"/>
        </w:rPr>
        <w:t xml:space="preserve">定期安排防暴处突培训人员对学校及保安进行实操培训和演练。</w:t>
      </w:r>
      <w:r/>
    </w:p>
    <w:p>
      <w:pPr>
        <w:ind w:firstLine="420"/>
        <w:spacing w:line="360" w:lineRule="auto"/>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w:t>
      </w:r>
      <w:r>
        <w:rPr>
          <w:rFonts w:hint="default" w:ascii="Times New Roman" w:hAnsi="Times New Roman" w:cs="Times New Roman"/>
          <w:b/>
          <w:bCs/>
          <w:sz w:val="24"/>
          <w:szCs w:val="24"/>
          <w:highlight w:val="none"/>
        </w:rPr>
        <w:t xml:space="preserve">中标单位应具有学校的安全管理经验。</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6、中标单位人员不得私自在学校内拍照、录视频；不得将涉及学校内情的图片、视频或信息，进行拷贝和传播。</w:t>
      </w:r>
      <w:r/>
    </w:p>
    <w:p>
      <w:pPr>
        <w:ind w:firstLine="482"/>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四、综合服务方案要求</w:t>
      </w:r>
      <w:r/>
    </w:p>
    <w:p>
      <w:pPr>
        <w:ind w:firstLine="482"/>
        <w:spacing w:line="360" w:lineRule="auto"/>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（一）项目管理规章制度</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投标人需要针对本项目提供项目管理规章制度案，内容至少包括：</w:t>
      </w:r>
      <w:r/>
    </w:p>
    <w:p>
      <w:pPr>
        <w:numPr>
          <w:ilvl w:val="0"/>
          <w:numId w:val="2"/>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保安服务的保密制度（包括但不限于制定保密制度、服务人员的保密培训、重点岗位双人服务、泄密惩罚方法）；</w:t>
      </w:r>
      <w:r/>
    </w:p>
    <w:p>
      <w:pPr>
        <w:numPr>
          <w:ilvl w:val="0"/>
          <w:numId w:val="2"/>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保安人员审查及培训制度（包括但不限于人员招聘及审查、岗前培训）；</w:t>
      </w:r>
      <w:r/>
    </w:p>
    <w:p>
      <w:pPr>
        <w:numPr>
          <w:ilvl w:val="0"/>
          <w:numId w:val="2"/>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保安岗位工作制度（包括但不限于保安服务管理制度、保安人员管理制度、保安物资管理制度）；</w:t>
      </w:r>
      <w:r/>
    </w:p>
    <w:p>
      <w:pPr>
        <w:numPr>
          <w:ilvl w:val="0"/>
          <w:numId w:val="2"/>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档案管理方案（包括但不限于档案管理概述、档案管理系统、档案管理流程、档案保管措施）。</w:t>
      </w:r>
      <w:r/>
    </w:p>
    <w:p>
      <w:pPr>
        <w:ind w:firstLine="482"/>
        <w:spacing w:line="360" w:lineRule="auto"/>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（二）各岗位服务方案</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投标人需要针对本项目提供各岗位服务方案，内容至少包括：</w:t>
      </w:r>
      <w:r/>
    </w:p>
    <w:p>
      <w:pPr>
        <w:numPr>
          <w:ilvl w:val="0"/>
          <w:numId w:val="3"/>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岗位职责（包括但不限于校园门岗、巡逻岗、监控岗服务方案、消防安全管理方案、宿舍管理实施方案）；</w:t>
      </w:r>
      <w:r/>
    </w:p>
    <w:p>
      <w:pPr>
        <w:numPr>
          <w:ilvl w:val="0"/>
          <w:numId w:val="3"/>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岗位工作标准（包括但不限于门卫人员、巡逻岗、监控杆、宿管员的工作标准）；</w:t>
      </w:r>
      <w:r/>
    </w:p>
    <w:p>
      <w:pPr>
        <w:numPr>
          <w:ilvl w:val="0"/>
          <w:numId w:val="3"/>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岗位考核制度等（包括但不限于人员考核原则及要点、人员考核标准、保安员考核制度、宿管员考核制度、考核奖惩细则、人员淘汰机制）。</w:t>
      </w:r>
      <w:r/>
    </w:p>
    <w:p>
      <w:pPr>
        <w:ind w:firstLine="482"/>
        <w:spacing w:line="360" w:lineRule="auto"/>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（三）人员培训方案</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投标人需要针对本项目提供人员培训方案，内容至少包括：</w:t>
      </w:r>
      <w:r/>
    </w:p>
    <w:p>
      <w:pPr>
        <w:numPr>
          <w:ilvl w:val="0"/>
          <w:numId w:val="4"/>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培训计划、培训方式、培训目标；</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（1）培训计划：包括但不限于培训时间、培训地点、新员工入职培训时间、员工年度培训时间、新员工培训率等；</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（2）培训方式：包括但不限于岗前培训法、岗中培训法、岗下培训法、会议培训、实操培训等；</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（3）培训目标：包括但不限于确保保安人员对专业理论知识如职业道德、法律常识、救护知识以及工作技能训练如岗位操作指引、勤务技能有全面的认识和掌握运用。</w:t>
      </w:r>
      <w:r/>
    </w:p>
    <w:p>
      <w:pPr>
        <w:numPr>
          <w:ilvl w:val="0"/>
          <w:numId w:val="4"/>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言行规范、仪容仪表、公众形象、问题处理方法培训、消防技能培训、军事技能培训；</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（1）言行规范、仪容仪表、公众形象培训：包括但不限于保安服务中对待学校师生以及来访家长能做到微笑服务，充分尊重所面对的人员，举止大方、穿着得体、精神干练等。</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（2）问题处理方法培训：包括但不限于对校园中遇到的一般情况处理方法以及特殊情况（如火灾、社会人员闯入校园、抢劫、肇事逃逸）的处理方法培训。</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（3）消防技能培训：包括但不限于校园中发烧火灾、处置火灾的基本程序、灭火的基本方法、疏散逃生等消防技能培训。</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（4）军事技能培训：包括但不限于军姿训练、齐步、体能训练等。</w:t>
      </w:r>
      <w:r/>
    </w:p>
    <w:p>
      <w:pPr>
        <w:numPr>
          <w:ilvl w:val="0"/>
          <w:numId w:val="4"/>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培训流程、培训档案等。包括但不限于人员培训流程图以及人员培训档案管理等。</w:t>
      </w:r>
      <w:r/>
    </w:p>
    <w:p>
      <w:pPr>
        <w:ind w:firstLine="482"/>
        <w:spacing w:line="360" w:lineRule="auto"/>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（四）应急预案</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投标人需要针对本项目提供应急预案，方案内容至少包括：</w:t>
      </w:r>
      <w:r/>
    </w:p>
    <w:p>
      <w:pPr>
        <w:numPr>
          <w:ilvl w:val="0"/>
          <w:numId w:val="5"/>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应急处理原则；</w:t>
      </w:r>
      <w:r/>
    </w:p>
    <w:p>
      <w:pPr>
        <w:numPr>
          <w:ilvl w:val="0"/>
          <w:numId w:val="5"/>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应急保障措施（包括但不限于应急机制保障、应急设备保障、应急人员保障等）；</w:t>
      </w:r>
      <w:r/>
    </w:p>
    <w:p>
      <w:pPr>
        <w:numPr>
          <w:ilvl w:val="0"/>
          <w:numId w:val="5"/>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自然灾害类应急预案；（包括但不限于地震、台风、洪涝、雷电等应急预案）；</w:t>
      </w:r>
      <w:r/>
    </w:p>
    <w:p>
      <w:pPr>
        <w:numPr>
          <w:ilvl w:val="0"/>
          <w:numId w:val="5"/>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公共管理类应急预案（包括但不限于盗窃事件、斗殴事件、高空坠物、发现可疑分子及可疑物品应急预案等）；</w:t>
      </w:r>
      <w:r/>
    </w:p>
    <w:p>
      <w:pPr>
        <w:numPr>
          <w:ilvl w:val="0"/>
          <w:numId w:val="5"/>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人员类事故应急预案（包括但不限于电梯困人、交通事故、火灾事故、踩踏事故等应急预案）；</w:t>
      </w:r>
      <w:r/>
    </w:p>
    <w:p>
      <w:pPr>
        <w:ind w:firstLine="480"/>
        <w:spacing w:line="360" w:lineRule="auto"/>
        <w:rPr>
          <w:rFonts w:hint="default" w:ascii="Times New Roman" w:hAnsi="Times New Roman" w:cs="Times New Roman"/>
          <w:b/>
          <w:bCs/>
          <w:sz w:val="24"/>
          <w:szCs w:val="24"/>
          <w:highlight w:val="none"/>
        </w:rPr>
      </w:pPr>
      <w:r>
        <w:rPr>
          <w:rFonts w:hint="default" w:ascii="Times New Roman" w:hAnsi="Times New Roman" w:cs="Times New Roman"/>
          <w:sz w:val="24"/>
          <w:szCs w:val="24"/>
          <w:highlight w:val="none"/>
        </w:rPr>
        <w:t xml:space="preserve">大型活动、节假日应急预案（包括但不限于运动会、文化节等大型活动、节假日、重要检查等应急预案）。</w:t>
      </w:r>
      <w:r/>
    </w:p>
    <w:p>
      <w:pPr>
        <w:ind w:firstLine="482"/>
        <w:spacing w:line="360" w:lineRule="auto"/>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（五）项目组织机构及人员配备</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投标人需要针对本项目提供项目组织机构及人员配备方案，内容至少包括：</w:t>
      </w:r>
      <w:r/>
    </w:p>
    <w:p>
      <w:pPr>
        <w:numPr>
          <w:ilvl w:val="0"/>
          <w:numId w:val="6"/>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项目组织机构（包括但不限于项目组织的结构分类、建立项目组织的步骤、项目工作思路、项目部门职责、项目管理机构）；</w:t>
      </w:r>
      <w:r/>
    </w:p>
    <w:p>
      <w:pPr>
        <w:numPr>
          <w:ilvl w:val="0"/>
          <w:numId w:val="6"/>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人员配备方案（包括但不限于人员配备明细、配备人员素质、配备人员来源情况、配备人员各岗位责任）。</w:t>
      </w:r>
      <w:r/>
    </w:p>
    <w:p>
      <w:pPr>
        <w:ind w:firstLine="482"/>
        <w:spacing w:line="360" w:lineRule="auto"/>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（六）项目物资配备方案</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投标人需要针对本项目提供项目物资配备方案，内容至少包括：</w:t>
      </w:r>
      <w:r/>
    </w:p>
    <w:p>
      <w:pPr>
        <w:numPr>
          <w:ilvl w:val="0"/>
          <w:numId w:val="7"/>
        </w:num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物资配备原则（包括但不限于实用性、经济性、适应性、是否便于管理等配备原则）；</w:t>
      </w:r>
      <w:r/>
    </w:p>
    <w:p>
      <w:pPr>
        <w:ind w:firstLine="480"/>
        <w:spacing w:line="360" w:lineRule="auto"/>
        <w:rPr>
          <w:rFonts w:hint="default" w:ascii="Times New Roman" w:hAnsi="Times New Roman" w:cs="Times New Roman"/>
          <w:b/>
          <w:bCs/>
          <w:sz w:val="24"/>
          <w:szCs w:val="24"/>
          <w:highlight w:val="none"/>
        </w:rPr>
      </w:pPr>
      <w:r>
        <w:rPr>
          <w:rFonts w:hint="default" w:ascii="Times New Roman" w:hAnsi="Times New Roman" w:cs="Times New Roman"/>
          <w:sz w:val="24"/>
          <w:szCs w:val="24"/>
          <w:highlight w:val="none"/>
        </w:rPr>
        <w:t xml:space="preserve">2、防暴物资配备方案及通讯物资配备方案（包括但不限于设备清单、使用方法）。</w:t>
      </w:r>
      <w:r/>
    </w:p>
    <w:p>
      <w:pPr>
        <w:ind w:firstLine="482"/>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五、综合说明</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本项目固定总价包干，投标单位所报价格应包括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2、投标人应对所投项目的全部内容进行报价，只投其中部分内容者或出现选择性报价的，其投标文件将被拒绝。</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3、付款方式：见合同条款。</w:t>
      </w:r>
      <w:r/>
    </w:p>
    <w:p>
      <w:pPr>
        <w:ind w:firstLine="482"/>
        <w:spacing w:line="360"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六、投标说明</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1、投标人所投服务内容应能够至少达到或优于以上服务要求，同时明确服务内容、人员配备及交通工具等设备的投入。</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2、投标人必须承诺招标文件中提出的服务与要求。如果以其中某些条款不响应时，应在文件中逐条列出，未列出的视同响应。</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3、中标人有责任配合招标人接受上级领导部门的监督、检查，提供必须的资料。</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招标人有权终止合同。</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5、招标人不接受投标人任何因遗漏报价而发生的费用追加，因投标人违反《劳动法》等法律法规而造成招标人的连带责任和损失全部由中标人承担。</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6、若中标单位在服务期间，违反下列规定将被解除服务合同，并扣除剩余待支付费用：</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6.1、严禁将服务转包他人。</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6.2、出现重大责任问题。</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6.3、泄露相关保密信息。</w:t>
      </w:r>
      <w:r/>
    </w:p>
    <w:p>
      <w:pPr>
        <w:ind w:firstLine="480"/>
        <w:spacing w:line="360" w:lineRule="auto"/>
        <w:rPr>
          <w:rFonts w:hint="default" w:ascii="Times New Roman" w:hAnsi="Times New Roman" w:cs="Times New Roman"/>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sz w:val="24"/>
          <w:szCs w:val="24"/>
          <w:highlight w:val="none"/>
        </w:rPr>
        <w:t xml:space="preserve">7、凡涉及本项目招标文件的补充、修改，均以苏州政府采购网、苏采云发布的信息为准。</w:t>
      </w:r>
      <w:bookmarkEnd w:id="14"/>
      <w:r/>
      <w:r/>
    </w:p>
    <w:p>
      <w:pPr>
        <w:jc w:val="center"/>
        <w:rPr>
          <w:rFonts w:hint="default" w:ascii="Times New Roman" w:hAnsi="Times New Roman" w:cs="Times New Roman"/>
          <w:b/>
          <w:bCs/>
          <w:sz w:val="32"/>
          <w:szCs w:val="32"/>
          <w:highlight w:val="none"/>
        </w:rPr>
        <w:outlineLvl w:val="0"/>
      </w:pPr>
      <w:r/>
      <w:bookmarkStart w:id="20" w:name="_Toc159507038"/>
      <w:r>
        <w:rPr>
          <w:rFonts w:hint="default" w:ascii="Times New Roman" w:hAnsi="Times New Roman" w:cs="Times New Roman"/>
          <w:b/>
          <w:bCs/>
          <w:sz w:val="32"/>
          <w:szCs w:val="32"/>
          <w:highlight w:val="none"/>
        </w:rPr>
        <w:t xml:space="preserve">第四章 评分办法及评标标准</w:t>
      </w:r>
      <w:bookmarkEnd w:id="20"/>
      <w:r/>
      <w:r/>
    </w:p>
    <w:p>
      <w:pPr>
        <w:ind w:firstLine="482"/>
        <w:spacing w:line="360"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一、评标方法</w:t>
      </w:r>
      <w:r/>
    </w:p>
    <w:p>
      <w:pPr>
        <w:ind w:firstLine="480"/>
        <w:spacing w:line="360" w:lineRule="auto"/>
        <w:rPr>
          <w:rFonts w:hint="default" w:ascii="Times New Roman" w:hAnsi="Times New Roman" w:cs="Times New Roman"/>
          <w:bCs/>
          <w:sz w:val="24"/>
          <w:szCs w:val="24"/>
          <w:highlight w:val="none"/>
        </w:rPr>
      </w:pPr>
      <w:r>
        <w:rPr>
          <w:rFonts w:hint="eastAsia" w:hAnsi="宋体" w:eastAsia="宋体"/>
          <w:sz w:val="24"/>
          <w:szCs w:val="24"/>
          <w:highlight w:val="none"/>
        </w:rPr>
        <w:t xml:space="preserve">（一）、</w:t>
      </w:r>
      <w:r>
        <w:rPr>
          <w:rFonts w:hint="default" w:ascii="Times New Roman" w:hAnsi="Times New Roman" w:cs="Times New Roman"/>
          <w:bCs/>
          <w:sz w:val="24"/>
          <w:szCs w:val="24"/>
          <w:highlight w:val="none"/>
        </w:rPr>
        <w:t xml:space="preserve">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hint="default" w:ascii="Times New Roman" w:hAnsi="Times New Roman" w:cs="Times New Roman"/>
          <w:bCs/>
          <w:sz w:val="24"/>
          <w:szCs w:val="24"/>
          <w:highlight w:val="none"/>
        </w:rPr>
      </w:pPr>
      <w:r>
        <w:rPr>
          <w:rFonts w:hint="eastAsia" w:hAnsi="宋体" w:eastAsia="宋体"/>
          <w:sz w:val="24"/>
          <w:szCs w:val="24"/>
          <w:highlight w:val="none"/>
        </w:rPr>
        <w:t xml:space="preserve">（</w:t>
      </w:r>
      <w:r>
        <w:rPr>
          <w:rFonts w:hint="eastAsia" w:hAnsi="宋体" w:eastAsia="宋体"/>
          <w:sz w:val="24"/>
          <w:szCs w:val="24"/>
          <w:highlight w:val="none"/>
          <w:lang w:val="en-US" w:eastAsia="zh-CN"/>
        </w:rPr>
        <w:t xml:space="preserve">二</w:t>
      </w:r>
      <w:r>
        <w:rPr>
          <w:rFonts w:hint="eastAsia" w:hAnsi="宋体" w:eastAsia="宋体"/>
          <w:sz w:val="24"/>
          <w:szCs w:val="24"/>
          <w:highlight w:val="none"/>
        </w:rPr>
        <w:t xml:space="preserve">）、</w:t>
      </w:r>
      <w:r>
        <w:rPr>
          <w:rFonts w:hint="default" w:ascii="Times New Roman" w:hAnsi="Times New Roman" w:cs="Times New Roman"/>
          <w:bCs/>
          <w:sz w:val="24"/>
          <w:szCs w:val="24"/>
          <w:highlight w:val="none"/>
        </w:rPr>
        <w:t xml:space="preserve">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line="360" w:lineRule="auto"/>
        <w:rPr>
          <w:rFonts w:hint="default" w:ascii="Times New Roman" w:hAnsi="Times New Roman" w:cs="Times New Roman"/>
          <w:color w:val="000000" w:themeColor="text1"/>
          <w:sz w:val="24"/>
          <w:szCs w:val="24"/>
          <w:highlight w:val="none"/>
        </w:rPr>
      </w:pPr>
      <w:r>
        <w:rPr>
          <w:rFonts w:hint="eastAsia" w:hAnsi="宋体" w:eastAsia="宋体"/>
          <w:sz w:val="24"/>
          <w:szCs w:val="24"/>
          <w:highlight w:val="none"/>
        </w:rPr>
        <w:t xml:space="preserve">（</w:t>
      </w:r>
      <w:r>
        <w:rPr>
          <w:rFonts w:hint="eastAsia" w:hAnsi="宋体" w:eastAsia="宋体"/>
          <w:sz w:val="24"/>
          <w:szCs w:val="24"/>
          <w:highlight w:val="none"/>
          <w:lang w:val="en-US" w:eastAsia="zh-CN"/>
        </w:rPr>
        <w:t xml:space="preserve">三</w:t>
      </w:r>
      <w:r>
        <w:rPr>
          <w:rFonts w:hint="eastAsia" w:hAnsi="宋体" w:eastAsia="宋体"/>
          <w:sz w:val="24"/>
          <w:szCs w:val="24"/>
          <w:highlight w:val="none"/>
        </w:rPr>
        <w:t xml:space="preserve">）、</w:t>
      </w:r>
      <w:r>
        <w:rPr>
          <w:rFonts w:hint="default" w:ascii="Times New Roman" w:hAnsi="Times New Roman" w:cs="Times New Roman"/>
          <w:b/>
          <w:sz w:val="24"/>
          <w:szCs w:val="24"/>
          <w:highlight w:val="none"/>
        </w:rPr>
        <w:t xml:space="preserve">评标时，评标委员会各成员应当按照招标文件规定的评分标准独立对每个投标人的投标文件进行评价，并汇总每个投标人的得分。对评委的评分(除价格分外)进行统</w:t>
      </w:r>
      <w:r>
        <w:rPr>
          <w:rFonts w:hint="default" w:ascii="Times New Roman" w:hAnsi="Times New Roman" w:cs="Times New Roman"/>
          <w:b/>
          <w:color w:val="000000" w:themeColor="text1"/>
          <w:sz w:val="24"/>
          <w:szCs w:val="24"/>
          <w:highlight w:val="none"/>
        </w:rPr>
        <w:t xml:space="preserve">计汇总，直接算术平均，计算出每个投标人的得分，加上价格得分即为每个投标人的综合得分。</w:t>
      </w:r>
      <w:r>
        <w:rPr>
          <w:color w:val="000000" w:themeColor="text1"/>
        </w:rPr>
      </w:r>
      <w:r/>
    </w:p>
    <w:p>
      <w:pPr>
        <w:ind w:firstLine="480"/>
        <w:spacing w:line="360" w:lineRule="auto"/>
        <w:rPr>
          <w:rFonts w:hint="default" w:ascii="Times New Roman" w:hAnsi="Times New Roman" w:cs="Times New Roman"/>
          <w:bCs/>
          <w:color w:val="000000" w:themeColor="text1"/>
          <w:sz w:val="24"/>
          <w:szCs w:val="24"/>
          <w:highlight w:val="none"/>
        </w:rPr>
      </w:pPr>
      <w:r>
        <w:rPr>
          <w:rFonts w:hint="eastAsia" w:hAnsi="宋体" w:eastAsia="宋体"/>
          <w:color w:val="000000" w:themeColor="text1"/>
          <w:sz w:val="24"/>
          <w:szCs w:val="24"/>
          <w:highlight w:val="none"/>
        </w:rPr>
        <w:t xml:space="preserve">（</w:t>
      </w:r>
      <w:r>
        <w:rPr>
          <w:rFonts w:hint="eastAsia" w:hAnsi="宋体" w:eastAsia="宋体"/>
          <w:color w:val="000000" w:themeColor="text1"/>
          <w:sz w:val="24"/>
          <w:szCs w:val="24"/>
          <w:highlight w:val="none"/>
          <w:lang w:val="en-US" w:eastAsia="zh-CN"/>
        </w:rPr>
        <w:t xml:space="preserve">四</w:t>
      </w:r>
      <w:r>
        <w:rPr>
          <w:rFonts w:hint="eastAsia" w:hAnsi="宋体" w:eastAsia="宋体"/>
          <w:color w:val="000000" w:themeColor="text1"/>
          <w:sz w:val="24"/>
          <w:szCs w:val="24"/>
          <w:highlight w:val="none"/>
        </w:rPr>
        <w:t xml:space="preserve">）、</w:t>
      </w:r>
      <w:r>
        <w:rPr>
          <w:rFonts w:hint="default" w:ascii="Times New Roman" w:hAnsi="Times New Roman" w:cs="Times New Roman"/>
          <w:bCs/>
          <w:color w:val="000000" w:themeColor="text1"/>
          <w:sz w:val="24"/>
          <w:szCs w:val="24"/>
          <w:highlight w:val="none"/>
        </w:rPr>
        <w:t xml:space="preserve">如出现评标总得分最高的投标人有两个或两个以上的，以投标报价较低者优先作为中标候选人，如果投标报价也相同的，则由评标委员会组织以抽签方式确定中标候选人。</w:t>
      </w:r>
      <w:r>
        <w:rPr>
          <w:color w:val="000000" w:themeColor="text1"/>
        </w:rPr>
      </w:r>
      <w:r/>
    </w:p>
    <w:p>
      <w:pPr>
        <w:ind w:firstLine="480"/>
        <w:jc w:val="both"/>
        <w:spacing w:line="360" w:lineRule="auto"/>
        <w:widowControl w:val="off"/>
        <w:rPr>
          <w:rFonts w:hint="eastAsia" w:ascii="宋体" w:hAnsi="宋体" w:eastAsia="宋体" w:cs="Times New Roman"/>
          <w:color w:val="000000" w:themeColor="text1"/>
          <w:sz w:val="24"/>
          <w:szCs w:val="24"/>
          <w:highlight w:val="none"/>
        </w:rPr>
      </w:pPr>
      <w:r>
        <w:rPr>
          <w:rFonts w:hint="eastAsia" w:hAnsi="宋体" w:eastAsia="宋体"/>
          <w:color w:val="000000" w:themeColor="text1"/>
          <w:sz w:val="24"/>
          <w:szCs w:val="24"/>
          <w:highlight w:val="none"/>
        </w:rPr>
        <w:t xml:space="preserve">（</w:t>
      </w:r>
      <w:r>
        <w:rPr>
          <w:rFonts w:hint="eastAsia" w:hAnsi="宋体" w:eastAsia="宋体"/>
          <w:color w:val="000000" w:themeColor="text1"/>
          <w:sz w:val="24"/>
          <w:szCs w:val="24"/>
          <w:highlight w:val="none"/>
          <w:lang w:val="en-US" w:eastAsia="zh-CN"/>
        </w:rPr>
        <w:t xml:space="preserve">五</w:t>
      </w:r>
      <w:r>
        <w:rPr>
          <w:rFonts w:hint="eastAsia" w:hAnsi="宋体" w:eastAsia="宋体"/>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lang w:val="zh-CN" w:eastAsia="zh-CN" w:bidi="ar-SA"/>
        </w:rPr>
        <w:t xml:space="preserve">异常低价审查</w:t>
      </w:r>
      <w:r>
        <w:rPr>
          <w:color w:val="000000" w:themeColor="text1"/>
        </w:rPr>
      </w:r>
      <w:r/>
    </w:p>
    <w:p>
      <w:pPr>
        <w:ind w:firstLine="480"/>
        <w:jc w:val="both"/>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1、根据</w:t>
      </w:r>
      <w:r>
        <w:rPr>
          <w:rFonts w:hint="eastAsia" w:ascii="宋体" w:hAnsi="宋体" w:eastAsia="宋体" w:cs="Times New Roman"/>
          <w:color w:val="000000" w:themeColor="text1"/>
          <w:sz w:val="24"/>
          <w:szCs w:val="24"/>
          <w:highlight w:val="none"/>
          <w:lang w:val="zh-CN" w:eastAsia="zh-CN" w:bidi="ar-SA"/>
        </w:rPr>
        <w:t xml:space="preserve">《关于推动解决政府采购异常低价问题相关工作的通知》（苏财购〔2025〕62号）</w:t>
      </w:r>
      <w:r>
        <w:rPr>
          <w:rFonts w:hint="eastAsia" w:ascii="宋体" w:hAnsi="宋体" w:eastAsia="宋体" w:cs="Times New Roman"/>
          <w:color w:val="000000" w:themeColor="text1"/>
          <w:sz w:val="24"/>
          <w:szCs w:val="24"/>
          <w:highlight w:val="none"/>
          <w:lang w:val="en-US" w:eastAsia="zh-CN" w:bidi="ar-SA"/>
        </w:rPr>
        <w:t xml:space="preserve">要求，</w:t>
      </w:r>
      <w:r>
        <w:rPr>
          <w:rFonts w:ascii="宋体" w:hAnsi="宋体" w:eastAsia="宋体" w:cs="Times New Roman"/>
          <w:color w:val="000000" w:themeColor="text1"/>
          <w:sz w:val="24"/>
          <w:szCs w:val="24"/>
          <w:highlight w:val="none"/>
          <w:lang w:val="zh-CN" w:eastAsia="zh-CN" w:bidi="ar-SA"/>
        </w:rPr>
        <w:t xml:space="preserve">评审委员会评审过程中出现下列情形之一的，评审委员会应当启动异常低价投标（响应）审查程序：</w:t>
      </w:r>
      <w:r>
        <w:rPr>
          <w:color w:val="000000" w:themeColor="text1"/>
        </w:rPr>
      </w:r>
      <w:r/>
    </w:p>
    <w:p>
      <w:pPr>
        <w:ind w:firstLine="480"/>
        <w:jc w:val="both"/>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eastAsia="zh-CN" w:bidi="ar-SA"/>
        </w:rPr>
        <w:t xml:space="preserve">（</w:t>
      </w:r>
      <w:r>
        <w:rPr>
          <w:rFonts w:hint="eastAsia" w:ascii="宋体" w:hAnsi="宋体" w:eastAsia="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zh-CN" w:eastAsia="zh-CN" w:bidi="ar-SA"/>
        </w:rPr>
        <w:t xml:space="preserve">）</w:t>
      </w:r>
      <w:r>
        <w:rPr>
          <w:rFonts w:ascii="宋体" w:hAnsi="宋体" w:eastAsia="宋体" w:cs="Times New Roman"/>
          <w:color w:val="000000" w:themeColor="text1"/>
          <w:sz w:val="24"/>
          <w:szCs w:val="24"/>
          <w:highlight w:val="none"/>
          <w:lang w:val="zh-CN" w:eastAsia="zh-CN" w:bidi="ar-SA"/>
        </w:rPr>
        <w:t xml:space="preserve">投标（响应）报价低于采购项目预算50%的，即投标（响应）报价&lt;采购项目预算×50%；</w:t>
      </w:r>
      <w:r>
        <w:rPr>
          <w:color w:val="000000" w:themeColor="text1"/>
        </w:rPr>
      </w:r>
      <w:r/>
    </w:p>
    <w:p>
      <w:pPr>
        <w:ind w:firstLine="480"/>
        <w:jc w:val="both"/>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eastAsia="zh-CN" w:bidi="ar-SA"/>
        </w:rPr>
        <w:t xml:space="preserve">（</w:t>
      </w:r>
      <w:r>
        <w:rPr>
          <w:rFonts w:hint="eastAsia" w:ascii="宋体" w:hAnsi="宋体" w:eastAsia="宋体" w:cs="Times New Roman"/>
          <w:color w:val="000000" w:themeColor="text1"/>
          <w:sz w:val="24"/>
          <w:szCs w:val="24"/>
          <w:highlight w:val="none"/>
          <w:lang w:val="en-US" w:eastAsia="zh-CN" w:bidi="ar-SA"/>
        </w:rPr>
        <w:t xml:space="preserve">2</w:t>
      </w:r>
      <w:r>
        <w:rPr>
          <w:rFonts w:hint="eastAsia" w:ascii="宋体" w:hAnsi="宋体" w:eastAsia="宋体" w:cs="Times New Roman"/>
          <w:color w:val="000000" w:themeColor="text1"/>
          <w:sz w:val="24"/>
          <w:szCs w:val="24"/>
          <w:highlight w:val="none"/>
          <w:lang w:val="zh-CN" w:eastAsia="zh-CN" w:bidi="ar-SA"/>
        </w:rPr>
        <w:t xml:space="preserve">）</w:t>
      </w:r>
      <w:r>
        <w:rPr>
          <w:rFonts w:ascii="宋体" w:hAnsi="宋体" w:eastAsia="宋体" w:cs="Times New Roman"/>
          <w:color w:val="000000" w:themeColor="text1"/>
          <w:sz w:val="24"/>
          <w:szCs w:val="24"/>
          <w:highlight w:val="none"/>
          <w:lang w:val="zh-CN" w:eastAsia="zh-CN" w:bidi="ar-SA"/>
        </w:rPr>
        <w:t xml:space="preserve">投标（响应）报价低于采购项目最高限价45%的，即投标（响应）报价&lt;采购项目最高限价×45%；</w:t>
      </w:r>
      <w:r>
        <w:rPr>
          <w:color w:val="000000" w:themeColor="text1"/>
        </w:rPr>
      </w:r>
      <w:r/>
    </w:p>
    <w:p>
      <w:pPr>
        <w:ind w:firstLine="480"/>
        <w:jc w:val="both"/>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eastAsia="zh-CN" w:bidi="ar-SA"/>
        </w:rPr>
        <w:t xml:space="preserve">（</w:t>
      </w:r>
      <w:r>
        <w:rPr>
          <w:rFonts w:hint="eastAsia" w:ascii="宋体" w:hAnsi="宋体" w:eastAsia="宋体" w:cs="Times New Roman"/>
          <w:color w:val="000000" w:themeColor="text1"/>
          <w:sz w:val="24"/>
          <w:szCs w:val="24"/>
          <w:highlight w:val="none"/>
          <w:lang w:val="en-US" w:eastAsia="zh-CN" w:bidi="ar-SA"/>
        </w:rPr>
        <w:t xml:space="preserve">3</w:t>
      </w:r>
      <w:r>
        <w:rPr>
          <w:rFonts w:hint="eastAsia" w:ascii="宋体" w:hAnsi="宋体" w:eastAsia="宋体" w:cs="Times New Roman"/>
          <w:color w:val="000000" w:themeColor="text1"/>
          <w:sz w:val="24"/>
          <w:szCs w:val="24"/>
          <w:highlight w:val="none"/>
          <w:lang w:val="zh-CN" w:eastAsia="zh-CN" w:bidi="ar-SA"/>
        </w:rPr>
        <w:t xml:space="preserve">）</w:t>
      </w:r>
      <w:r>
        <w:rPr>
          <w:rFonts w:ascii="宋体" w:hAnsi="宋体" w:eastAsia="宋体" w:cs="Times New Roman"/>
          <w:color w:val="000000" w:themeColor="text1"/>
          <w:sz w:val="24"/>
          <w:szCs w:val="24"/>
          <w:highlight w:val="none"/>
          <w:lang w:val="zh-CN" w:eastAsia="zh-CN" w:bidi="ar-SA"/>
        </w:rPr>
        <w:t xml:space="preserve">评审委员会认定的供应商报价过低、有可能影响产品质量或者不能诚信履约的其他情形。</w:t>
      </w:r>
      <w:r>
        <w:rPr>
          <w:color w:val="000000" w:themeColor="text1"/>
        </w:rPr>
      </w:r>
      <w:r/>
    </w:p>
    <w:p>
      <w:pPr>
        <w:ind w:firstLine="48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2、</w:t>
      </w:r>
      <w:r>
        <w:rPr>
          <w:rFonts w:ascii="宋体" w:hAnsi="宋体" w:eastAsia="宋体" w:cs="Times New Roman"/>
          <w:color w:val="000000" w:themeColor="text1"/>
          <w:sz w:val="24"/>
          <w:szCs w:val="24"/>
          <w:highlight w:val="none"/>
          <w:lang w:val="zh-CN"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rPr>
      </w:r>
      <w:r/>
    </w:p>
    <w:p>
      <w:pPr>
        <w:ind w:firstLine="480"/>
        <w:spacing w:line="360" w:lineRule="auto"/>
        <w:rPr>
          <w:rFonts w:hint="default" w:ascii="Times New Roman" w:hAnsi="Times New Roman" w:cs="Times New Roman"/>
          <w:bCs/>
          <w:color w:val="000000" w:themeColor="text1"/>
          <w:sz w:val="24"/>
          <w:szCs w:val="24"/>
          <w:highlight w:val="none"/>
        </w:rPr>
      </w:pPr>
      <w:r>
        <w:rPr>
          <w:color w:val="000000" w:themeColor="text1"/>
        </w:rPr>
      </w:r>
      <w:bookmarkStart w:id="21" w:name="OLE_LINK26"/>
      <w:r>
        <w:rPr>
          <w:color w:val="000000" w:themeColor="text1"/>
        </w:rPr>
      </w:r>
      <w:bookmarkStart w:id="22" w:name="OLE_LINK27"/>
      <w:r>
        <w:rPr>
          <w:rFonts w:hint="eastAsia" w:hAnsi="宋体" w:eastAsia="宋体"/>
          <w:color w:val="000000" w:themeColor="text1"/>
          <w:sz w:val="24"/>
          <w:szCs w:val="24"/>
          <w:highlight w:val="none"/>
        </w:rPr>
        <w:t xml:space="preserve">（</w:t>
      </w:r>
      <w:r>
        <w:rPr>
          <w:rFonts w:hint="eastAsia" w:hAnsi="宋体"/>
          <w:color w:val="000000" w:themeColor="text1"/>
          <w:sz w:val="24"/>
          <w:szCs w:val="24"/>
          <w:highlight w:val="none"/>
          <w:lang w:val="en-US" w:eastAsia="zh-CN"/>
        </w:rPr>
        <w:t xml:space="preserve">六</w:t>
      </w:r>
      <w:r>
        <w:rPr>
          <w:rFonts w:hint="eastAsia" w:hAnsi="宋体" w:eastAsia="宋体"/>
          <w:color w:val="000000" w:themeColor="text1"/>
          <w:sz w:val="24"/>
          <w:szCs w:val="24"/>
          <w:highlight w:val="none"/>
        </w:rPr>
        <w:t xml:space="preserve">）、</w:t>
      </w:r>
      <w:r>
        <w:rPr>
          <w:rFonts w:hint="default" w:ascii="Times New Roman" w:hAnsi="Times New Roman" w:cs="Times New Roman"/>
          <w:b/>
          <w:bCs/>
          <w:color w:val="000000" w:themeColor="text1"/>
          <w:sz w:val="24"/>
          <w:szCs w:val="24"/>
          <w:highlight w:val="none"/>
        </w:rPr>
        <w:t xml:space="preserve">本项目专门面向中小企业采购的项目，不再执行价格评审优惠的扶持政策。</w:t>
      </w:r>
      <w:bookmarkEnd w:id="21"/>
      <w:r>
        <w:rPr>
          <w:color w:val="000000" w:themeColor="text1"/>
        </w:rPr>
      </w:r>
      <w:bookmarkEnd w:id="22"/>
      <w:r>
        <w:rPr>
          <w:rFonts w:hint="default" w:ascii="Times New Roman" w:hAnsi="Times New Roman" w:cs="Times New Roman"/>
          <w:bCs/>
          <w:color w:val="000000" w:themeColor="text1"/>
          <w:sz w:val="24"/>
          <w:szCs w:val="24"/>
          <w:highlight w:val="none"/>
        </w:rPr>
        <w:t xml:space="preserve">若投标供应商提供的声明函或认定证明为虚假声明则视同提供虚假材料，按“政府采购法”相关规定处理并报请政府监管部门给予行政处罚。</w:t>
      </w:r>
      <w:r>
        <w:rPr>
          <w:color w:val="000000" w:themeColor="text1"/>
        </w:rPr>
      </w:r>
      <w:r/>
    </w:p>
    <w:p>
      <w:pPr>
        <w:ind w:firstLine="482"/>
        <w:spacing w:line="360" w:lineRule="auto"/>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二、评分标准</w:t>
      </w:r>
      <w:r>
        <w:rPr>
          <w:color w:val="000000" w:themeColor="text1"/>
        </w:rPr>
      </w:r>
      <w:r/>
    </w:p>
    <w:p>
      <w:pPr>
        <w:ind w:firstLine="482"/>
        <w:spacing w:line="360" w:lineRule="auto"/>
        <w:tabs>
          <w:tab w:val="left" w:pos="-3420" w:leader="none"/>
          <w:tab w:val="left" w:pos="1620" w:leader="none"/>
        </w:tabs>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（一）价格分（20分）</w:t>
      </w:r>
      <w:r>
        <w:rPr>
          <w:color w:val="000000" w:themeColor="text1"/>
        </w:rPr>
      </w:r>
      <w:r/>
    </w:p>
    <w:p>
      <w:pPr>
        <w:ind w:firstLine="480"/>
        <w:spacing w:line="360" w:lineRule="auto"/>
        <w:tabs>
          <w:tab w:val="left" w:pos="-3420" w:leader="none"/>
          <w:tab w:val="left" w:pos="1620" w:leader="none"/>
        </w:tabs>
        <w:rPr>
          <w:rFonts w:hint="default" w:ascii="Times New Roman" w:hAnsi="Times New Roman" w:cs="Times New Roman"/>
          <w:color w:val="000000" w:themeColor="text1"/>
          <w:sz w:val="24"/>
          <w:szCs w:val="24"/>
          <w:highlight w:val="none"/>
        </w:rPr>
      </w:pPr>
      <w:r>
        <w:rPr>
          <w:color w:val="000000" w:themeColor="text1"/>
        </w:rPr>
      </w:r>
      <w:bookmarkStart w:id="23" w:name="OLE_LINK10"/>
      <w:r>
        <w:rPr>
          <w:color w:val="000000" w:themeColor="text1"/>
        </w:rPr>
      </w:r>
      <w:bookmarkStart w:id="24" w:name="OLE_LINK11"/>
      <w:r>
        <w:rPr>
          <w:rFonts w:hint="default" w:ascii="Times New Roman" w:hAnsi="Times New Roman" w:cs="Times New Roman"/>
          <w:color w:val="000000" w:themeColor="text1"/>
          <w:sz w:val="24"/>
          <w:szCs w:val="24"/>
          <w:highlight w:val="none"/>
        </w:rPr>
        <w:t xml:space="preserve">第一步：投标报价低于或等于财政预算价格的，为有效投标报价。超财政预算的投标报价或招标文件规定的报价为无效投标报价。无效投标报价的投标文件不进行评审，也不得标。</w:t>
      </w:r>
      <w:r>
        <w:rPr>
          <w:color w:val="000000" w:themeColor="text1"/>
        </w:rPr>
      </w:r>
      <w:r/>
    </w:p>
    <w:p>
      <w:pPr>
        <w:ind w:firstLine="480"/>
        <w:spacing w:line="360" w:lineRule="auto"/>
        <w:tabs>
          <w:tab w:val="left" w:pos="-3420" w:leader="none"/>
          <w:tab w:val="left" w:pos="1620" w:leader="none"/>
        </w:tabs>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第二步：在所有有效投标报价中满足招标文件要求，且投标价格最低的投标报价为评标基准价，其价格分为20分，其他投标人的价格分按照下列公式计算（计算结果四舍五入保留两位小数）。</w:t>
      </w:r>
      <w:r>
        <w:rPr>
          <w:color w:val="000000" w:themeColor="text1"/>
        </w:rPr>
      </w:r>
      <w:r/>
    </w:p>
    <w:p>
      <w:pPr>
        <w:ind w:firstLine="480"/>
        <w:spacing w:line="360" w:lineRule="auto"/>
        <w:tabs>
          <w:tab w:val="left" w:pos="-3420" w:leader="none"/>
          <w:tab w:val="left" w:pos="1620" w:leader="none"/>
        </w:tabs>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投标报价得分＝（评标基准价/投标报价）×20％×100。</w:t>
      </w:r>
      <w:bookmarkEnd w:id="23"/>
      <w:r>
        <w:rPr>
          <w:color w:val="000000" w:themeColor="text1"/>
        </w:rPr>
      </w:r>
      <w:bookmarkEnd w:id="24"/>
      <w:r>
        <w:rPr>
          <w:color w:val="000000" w:themeColor="text1"/>
        </w:rPr>
      </w:r>
      <w:r/>
    </w:p>
    <w:p>
      <w:pPr>
        <w:ind w:firstLine="482"/>
        <w:spacing w:line="360" w:lineRule="auto"/>
        <w:tabs>
          <w:tab w:val="left" w:pos="-3420" w:leader="none"/>
          <w:tab w:val="left" w:pos="1620" w:leader="none"/>
        </w:tabs>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（二）综合服务方案(40分)</w:t>
      </w:r>
      <w:r>
        <w:rPr>
          <w:color w:val="000000" w:themeColor="text1"/>
        </w:rPr>
      </w:r>
      <w:r/>
    </w:p>
    <w:p>
      <w:pPr>
        <w:ind w:firstLine="480"/>
        <w:spacing w:line="360" w:lineRule="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1、项目管理规章制度（12分）：</w:t>
      </w:r>
      <w:r>
        <w:rPr>
          <w:color w:val="000000" w:themeColor="text1"/>
        </w:rPr>
      </w:r>
      <w:r/>
    </w:p>
    <w:p>
      <w:pPr>
        <w:ind w:firstLine="480"/>
        <w:spacing w:line="360" w:lineRule="auto"/>
        <w:rPr>
          <w:rFonts w:hint="default" w:ascii="Times New Roman" w:hAnsi="Times New Roman" w:eastAsia="宋体"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根据投标人针对本项目管理规章制度进行评分，方案内容至少包括:①保安服务的保密制度、②保安人员审查及培训制度、③保安岗位工作制度、④档案管理方案等。方案内容针对本项目且符合本项目实际需求的，</w:t>
      </w:r>
      <w:r>
        <w:rPr>
          <w:rFonts w:hint="eastAsia" w:ascii="Times New Roman" w:cs="Times New Roman"/>
          <w:color w:val="000000" w:themeColor="text1"/>
          <w:sz w:val="24"/>
          <w:szCs w:val="24"/>
          <w:highlight w:val="none"/>
          <w:lang w:val="en-US" w:eastAsia="zh-CN"/>
        </w:rPr>
        <w:t xml:space="preserve">每</w:t>
      </w:r>
      <w:r>
        <w:rPr>
          <w:rFonts w:hint="default" w:ascii="Times New Roman" w:hAnsi="Times New Roman" w:cs="Times New Roman"/>
          <w:color w:val="000000" w:themeColor="text1"/>
          <w:sz w:val="24"/>
          <w:szCs w:val="24"/>
          <w:highlight w:val="none"/>
        </w:rPr>
        <w:t xml:space="preserve">满足一项得</w:t>
      </w:r>
      <w:r>
        <w:rPr>
          <w:rFonts w:hint="eastAsia" w:ascii="Times New Roman" w:cs="Times New Roman"/>
          <w:color w:val="000000" w:themeColor="text1"/>
          <w:sz w:val="24"/>
          <w:szCs w:val="24"/>
          <w:highlight w:val="none"/>
          <w:lang w:val="en-US" w:eastAsia="zh-CN"/>
        </w:rPr>
        <w:t xml:space="preserve">3分，最高得12分</w:t>
      </w:r>
      <w:r>
        <w:rPr>
          <w:rFonts w:hint="eastAsia" w:ascii="Times New Roman" w:cs="Times New Roman"/>
          <w:color w:val="000000" w:themeColor="text1"/>
          <w:sz w:val="24"/>
          <w:szCs w:val="24"/>
          <w:highlight w:val="none"/>
          <w:lang w:val="en-US" w:eastAsia="zh-CN"/>
        </w:rPr>
        <w:t xml:space="preserve">。</w:t>
      </w:r>
      <w:r>
        <w:rPr>
          <w:color w:val="000000" w:themeColor="text1"/>
        </w:rPr>
      </w:r>
      <w:r/>
    </w:p>
    <w:p>
      <w:pPr>
        <w:numPr>
          <w:ilvl w:val="0"/>
          <w:numId w:val="8"/>
        </w:numPr>
        <w:ind w:firstLine="480"/>
        <w:spacing w:line="360" w:lineRule="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各岗位服务方案（9分）：</w:t>
      </w:r>
      <w:r>
        <w:rPr>
          <w:color w:val="000000" w:themeColor="text1"/>
        </w:rPr>
      </w:r>
      <w:r/>
    </w:p>
    <w:p>
      <w:pPr>
        <w:ind w:firstLine="480"/>
        <w:spacing w:line="360" w:lineRule="auto"/>
        <w:rPr>
          <w:rFonts w:hint="default" w:ascii="Times New Roman" w:hAnsi="Times New Roman" w:eastAsia="宋体"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根据投标人针对本项目各岗位服务方案进行评分，方案内容至少包括:①岗位职责、②岗位工作标准、③岗位考核制度等。方案内容针对本项目且符合本项目实际需求的，</w:t>
      </w:r>
      <w:r>
        <w:rPr>
          <w:rFonts w:hint="eastAsia" w:ascii="Times New Roman" w:cs="Times New Roman"/>
          <w:color w:val="000000" w:themeColor="text1"/>
          <w:sz w:val="24"/>
          <w:szCs w:val="24"/>
          <w:highlight w:val="none"/>
          <w:lang w:val="en-US" w:eastAsia="zh-CN"/>
        </w:rPr>
        <w:t xml:space="preserve">每</w:t>
      </w:r>
      <w:r>
        <w:rPr>
          <w:rFonts w:hint="default" w:ascii="Times New Roman" w:hAnsi="Times New Roman" w:cs="Times New Roman"/>
          <w:color w:val="000000" w:themeColor="text1"/>
          <w:sz w:val="24"/>
          <w:szCs w:val="24"/>
          <w:highlight w:val="none"/>
        </w:rPr>
        <w:t xml:space="preserve">满足一项得</w:t>
      </w:r>
      <w:r>
        <w:rPr>
          <w:rFonts w:hint="eastAsia" w:ascii="Times New Roman" w:cs="Times New Roman"/>
          <w:color w:val="000000" w:themeColor="text1"/>
          <w:sz w:val="24"/>
          <w:szCs w:val="24"/>
          <w:highlight w:val="none"/>
          <w:lang w:val="en-US" w:eastAsia="zh-CN"/>
        </w:rPr>
        <w:t xml:space="preserve">3分，最高得9分</w:t>
      </w:r>
      <w:r>
        <w:rPr>
          <w:rFonts w:hint="eastAsia" w:ascii="Times New Roman" w:cs="Times New Roman"/>
          <w:color w:val="000000" w:themeColor="text1"/>
          <w:sz w:val="24"/>
          <w:szCs w:val="24"/>
          <w:highlight w:val="none"/>
          <w:lang w:val="en-US" w:eastAsia="zh-CN"/>
        </w:rPr>
        <w:t xml:space="preserve">。</w:t>
      </w:r>
      <w:r>
        <w:rPr>
          <w:color w:val="000000" w:themeColor="text1"/>
        </w:rPr>
      </w:r>
      <w:r/>
    </w:p>
    <w:p>
      <w:pPr>
        <w:numPr>
          <w:ilvl w:val="0"/>
          <w:numId w:val="8"/>
        </w:numPr>
        <w:ind w:firstLine="480"/>
        <w:spacing w:line="360" w:lineRule="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人员培训（6分）：</w:t>
      </w:r>
      <w:r>
        <w:rPr>
          <w:color w:val="000000" w:themeColor="text1"/>
        </w:rPr>
      </w:r>
      <w:r/>
    </w:p>
    <w:p>
      <w:pPr>
        <w:ind w:firstLine="480"/>
        <w:spacing w:line="360" w:lineRule="auto"/>
        <w:rPr>
          <w:rFonts w:hint="default" w:ascii="Times New Roman" w:hAnsi="Times New Roman" w:cs="Times New Roman"/>
          <w:color w:val="000000" w:themeColor="text1"/>
          <w:sz w:val="24"/>
          <w:szCs w:val="24"/>
          <w:highlight w:val="none"/>
        </w:rPr>
      </w:pPr>
      <w:r>
        <w:rPr>
          <w:color w:val="000000" w:themeColor="text1"/>
        </w:rPr>
      </w:r>
      <w:bookmarkStart w:id="25" w:name="OLE_LINK13"/>
      <w:r>
        <w:rPr>
          <w:color w:val="000000" w:themeColor="text1"/>
        </w:rPr>
      </w:r>
      <w:bookmarkStart w:id="26" w:name="OLE_LINK12"/>
      <w:r>
        <w:rPr>
          <w:rFonts w:hint="default" w:ascii="Times New Roman" w:hAnsi="Times New Roman" w:cs="Times New Roman"/>
          <w:color w:val="000000" w:themeColor="text1"/>
          <w:sz w:val="24"/>
          <w:szCs w:val="24"/>
          <w:highlight w:val="none"/>
        </w:rPr>
        <w:t xml:space="preserve">根据投标人针对本项目人员培训方案进行评分，方案内容至少包括:①培训计划、培训方式、培训目标、②言行规范、仪容仪表、公众形象、问题处理方法培训、消防技能培训、军事技能培训、③培训流程、培训档案等，方案内容针对本项目且符合本项目实际需求的，</w:t>
      </w:r>
      <w:bookmarkEnd w:id="25"/>
      <w:r>
        <w:rPr>
          <w:color w:val="000000" w:themeColor="text1"/>
        </w:rPr>
      </w:r>
      <w:bookmarkEnd w:id="26"/>
      <w:r>
        <w:rPr>
          <w:rFonts w:hint="eastAsia" w:ascii="Times New Roman" w:cs="Times New Roman"/>
          <w:color w:val="000000" w:themeColor="text1"/>
          <w:sz w:val="24"/>
          <w:szCs w:val="24"/>
          <w:highlight w:val="none"/>
          <w:lang w:val="en-US" w:eastAsia="zh-CN"/>
        </w:rPr>
        <w:t xml:space="preserve">每</w:t>
      </w:r>
      <w:r>
        <w:rPr>
          <w:rFonts w:hint="default" w:ascii="Times New Roman" w:hAnsi="Times New Roman" w:cs="Times New Roman"/>
          <w:color w:val="000000" w:themeColor="text1"/>
          <w:sz w:val="24"/>
          <w:szCs w:val="24"/>
          <w:highlight w:val="none"/>
        </w:rPr>
        <w:t xml:space="preserve">满足一项得</w:t>
      </w:r>
      <w:r>
        <w:rPr>
          <w:rFonts w:hint="eastAsia" w:ascii="Times New Roman" w:cs="Times New Roman"/>
          <w:color w:val="000000" w:themeColor="text1"/>
          <w:sz w:val="24"/>
          <w:szCs w:val="24"/>
          <w:highlight w:val="none"/>
          <w:lang w:val="en-US" w:eastAsia="zh-CN"/>
        </w:rPr>
        <w:t xml:space="preserve">2分，最高得6分。</w:t>
      </w:r>
      <w:r>
        <w:rPr>
          <w:color w:val="000000" w:themeColor="text1"/>
        </w:rPr>
      </w:r>
      <w:r/>
    </w:p>
    <w:p>
      <w:pPr>
        <w:numPr>
          <w:ilvl w:val="0"/>
          <w:numId w:val="8"/>
        </w:numPr>
        <w:ind w:firstLine="480"/>
        <w:spacing w:line="360" w:lineRule="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应急预案（6分）：</w:t>
      </w:r>
      <w:r>
        <w:rPr>
          <w:color w:val="000000" w:themeColor="text1"/>
        </w:rPr>
      </w:r>
      <w:r/>
    </w:p>
    <w:p>
      <w:pPr>
        <w:ind w:firstLine="480"/>
        <w:spacing w:line="360" w:lineRule="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根据投标人针对本项目应急预案进行评分，方案内容至少包括:①应急处理原则、②应急保障措施、③自然灾害类应急预案、④公共管理类应急预案、⑤人员类事故应急预案、⑥大型活动、节假日应急预案，方案内容针对本项目且符合本项目实际需求的，</w:t>
      </w:r>
      <w:r>
        <w:rPr>
          <w:rFonts w:hint="eastAsia" w:ascii="Times New Roman" w:cs="Times New Roman"/>
          <w:color w:val="000000" w:themeColor="text1"/>
          <w:sz w:val="24"/>
          <w:szCs w:val="24"/>
          <w:highlight w:val="none"/>
          <w:lang w:val="en-US" w:eastAsia="zh-CN"/>
        </w:rPr>
        <w:t xml:space="preserve">每</w:t>
      </w:r>
      <w:r>
        <w:rPr>
          <w:rFonts w:hint="default" w:ascii="Times New Roman" w:hAnsi="Times New Roman" w:cs="Times New Roman"/>
          <w:color w:val="000000" w:themeColor="text1"/>
          <w:sz w:val="24"/>
          <w:szCs w:val="24"/>
          <w:highlight w:val="none"/>
        </w:rPr>
        <w:t xml:space="preserve">满足一项得</w:t>
      </w:r>
      <w:r>
        <w:rPr>
          <w:rFonts w:hint="eastAsia" w:ascii="Times New Roman" w:cs="Times New Roman"/>
          <w:color w:val="000000" w:themeColor="text1"/>
          <w:sz w:val="24"/>
          <w:szCs w:val="24"/>
          <w:highlight w:val="none"/>
          <w:lang w:val="en-US" w:eastAsia="zh-CN"/>
        </w:rPr>
        <w:t xml:space="preserve">1分，最高得6分。</w:t>
      </w:r>
      <w:r>
        <w:rPr>
          <w:color w:val="000000" w:themeColor="text1"/>
        </w:rPr>
      </w:r>
      <w:r/>
    </w:p>
    <w:p>
      <w:pPr>
        <w:numPr>
          <w:ilvl w:val="0"/>
          <w:numId w:val="8"/>
        </w:numPr>
        <w:ind w:firstLine="480"/>
        <w:spacing w:line="360" w:lineRule="auto"/>
        <w:rPr>
          <w:rFonts w:hint="default" w:ascii="Times New Roman" w:hAnsi="Times New Roman" w:cs="Times New Roman"/>
          <w:color w:val="000000" w:themeColor="text1"/>
          <w:sz w:val="24"/>
          <w:szCs w:val="24"/>
          <w:highlight w:val="none"/>
        </w:rPr>
      </w:pPr>
      <w:r>
        <w:rPr>
          <w:color w:val="000000" w:themeColor="text1"/>
        </w:rPr>
      </w:r>
      <w:bookmarkStart w:id="27" w:name="OLE_LINK14"/>
      <w:r>
        <w:rPr>
          <w:color w:val="000000" w:themeColor="text1"/>
        </w:rPr>
      </w:r>
      <w:bookmarkStart w:id="28" w:name="OLE_LINK15"/>
      <w:r>
        <w:rPr>
          <w:rFonts w:hint="default" w:ascii="Times New Roman" w:hAnsi="Times New Roman" w:cs="Times New Roman"/>
          <w:color w:val="000000" w:themeColor="text1"/>
          <w:sz w:val="24"/>
          <w:szCs w:val="24"/>
          <w:highlight w:val="none"/>
        </w:rPr>
        <w:t xml:space="preserve">项目组织机构及人员配备</w:t>
      </w:r>
      <w:bookmarkEnd w:id="27"/>
      <w:r>
        <w:rPr>
          <w:color w:val="000000" w:themeColor="text1"/>
        </w:rPr>
      </w:r>
      <w:bookmarkEnd w:id="28"/>
      <w:r>
        <w:rPr>
          <w:rFonts w:hint="default" w:ascii="Times New Roman" w:hAnsi="Times New Roman" w:cs="Times New Roman"/>
          <w:color w:val="000000" w:themeColor="text1"/>
          <w:sz w:val="24"/>
          <w:szCs w:val="24"/>
          <w:highlight w:val="none"/>
        </w:rPr>
        <w:t xml:space="preserve">（3分）：</w:t>
      </w:r>
      <w:r>
        <w:rPr>
          <w:color w:val="000000" w:themeColor="text1"/>
        </w:rPr>
      </w:r>
      <w:r/>
    </w:p>
    <w:p>
      <w:pPr>
        <w:ind w:firstLine="480"/>
        <w:spacing w:line="360" w:lineRule="auto"/>
        <w:rPr>
          <w:rFonts w:hint="default" w:ascii="Times New Roman" w:hAnsi="Times New Roman" w:cs="Times New Roman"/>
          <w:color w:val="000000" w:themeColor="text1"/>
          <w:sz w:val="24"/>
          <w:szCs w:val="24"/>
          <w:highlight w:val="none"/>
        </w:rPr>
      </w:pPr>
      <w:r>
        <w:rPr>
          <w:color w:val="000000" w:themeColor="text1"/>
        </w:rPr>
      </w:r>
      <w:bookmarkStart w:id="29" w:name="OLE_LINK17"/>
      <w:r>
        <w:rPr>
          <w:color w:val="000000" w:themeColor="text1"/>
        </w:rPr>
      </w:r>
      <w:bookmarkStart w:id="30" w:name="OLE_LINK16"/>
      <w:r>
        <w:rPr>
          <w:rFonts w:hint="default" w:ascii="Times New Roman" w:hAnsi="Times New Roman" w:cs="Times New Roman"/>
          <w:color w:val="000000" w:themeColor="text1"/>
          <w:sz w:val="24"/>
          <w:szCs w:val="24"/>
          <w:highlight w:val="none"/>
        </w:rPr>
        <w:t xml:space="preserve">根据投标人针对本项目项目组织机构及人员配备进行评分，方案内容至少包括:①项目组织机构、②人员配备方案等，方案内容针对本项目且符合本项目实际需求的，</w:t>
      </w:r>
      <w:bookmarkEnd w:id="29"/>
      <w:r>
        <w:rPr>
          <w:color w:val="000000" w:themeColor="text1"/>
        </w:rPr>
      </w:r>
      <w:bookmarkEnd w:id="30"/>
      <w:r>
        <w:rPr>
          <w:rFonts w:hint="eastAsia" w:ascii="Times New Roman" w:cs="Times New Roman"/>
          <w:color w:val="000000" w:themeColor="text1"/>
          <w:sz w:val="24"/>
          <w:szCs w:val="24"/>
          <w:highlight w:val="none"/>
          <w:lang w:val="en-US" w:eastAsia="zh-CN"/>
        </w:rPr>
        <w:t xml:space="preserve">每</w:t>
      </w:r>
      <w:r>
        <w:rPr>
          <w:rFonts w:hint="default" w:ascii="Times New Roman" w:hAnsi="Times New Roman" w:cs="Times New Roman"/>
          <w:color w:val="000000" w:themeColor="text1"/>
          <w:sz w:val="24"/>
          <w:szCs w:val="24"/>
          <w:highlight w:val="none"/>
        </w:rPr>
        <w:t xml:space="preserve">满足一项得</w:t>
      </w:r>
      <w:r>
        <w:rPr>
          <w:rFonts w:hint="eastAsia" w:ascii="Times New Roman" w:cs="Times New Roman"/>
          <w:color w:val="000000" w:themeColor="text1"/>
          <w:sz w:val="24"/>
          <w:szCs w:val="24"/>
          <w:highlight w:val="none"/>
          <w:lang w:val="en-US" w:eastAsia="zh-CN"/>
        </w:rPr>
        <w:t xml:space="preserve">1.5分，最高得3分。</w:t>
      </w:r>
      <w:r>
        <w:rPr>
          <w:color w:val="000000" w:themeColor="text1"/>
        </w:rPr>
      </w:r>
      <w:r/>
    </w:p>
    <w:p>
      <w:pPr>
        <w:numPr>
          <w:ilvl w:val="0"/>
          <w:numId w:val="8"/>
        </w:numPr>
        <w:ind w:firstLine="480"/>
        <w:spacing w:line="360" w:lineRule="auto"/>
        <w:rPr>
          <w:rFonts w:hint="default" w:ascii="Times New Roman" w:hAnsi="Times New Roman" w:cs="Times New Roman"/>
          <w:color w:val="000000" w:themeColor="text1"/>
          <w:sz w:val="24"/>
          <w:szCs w:val="24"/>
          <w:highlight w:val="none"/>
        </w:rPr>
      </w:pPr>
      <w:r>
        <w:rPr>
          <w:color w:val="000000" w:themeColor="text1"/>
        </w:rPr>
      </w:r>
      <w:bookmarkStart w:id="31" w:name="OLE_LINK19"/>
      <w:r>
        <w:rPr>
          <w:color w:val="000000" w:themeColor="text1"/>
        </w:rPr>
      </w:r>
      <w:bookmarkStart w:id="32" w:name="OLE_LINK18"/>
      <w:r>
        <w:rPr>
          <w:rFonts w:hint="default" w:ascii="Times New Roman" w:hAnsi="Times New Roman" w:cs="Times New Roman"/>
          <w:color w:val="000000" w:themeColor="text1"/>
          <w:sz w:val="24"/>
          <w:szCs w:val="24"/>
          <w:highlight w:val="none"/>
        </w:rPr>
        <w:t xml:space="preserve">项目物资配备方案</w:t>
      </w:r>
      <w:bookmarkEnd w:id="31"/>
      <w:r>
        <w:rPr>
          <w:color w:val="000000" w:themeColor="text1"/>
        </w:rPr>
      </w:r>
      <w:bookmarkEnd w:id="32"/>
      <w:r>
        <w:rPr>
          <w:rFonts w:hint="default" w:ascii="Times New Roman" w:hAnsi="Times New Roman" w:cs="Times New Roman"/>
          <w:color w:val="000000" w:themeColor="text1"/>
          <w:sz w:val="24"/>
          <w:szCs w:val="24"/>
          <w:highlight w:val="none"/>
        </w:rPr>
        <w:t xml:space="preserve">（4分）：</w:t>
      </w:r>
      <w:r>
        <w:rPr>
          <w:color w:val="000000" w:themeColor="text1"/>
        </w:rPr>
      </w:r>
      <w:r/>
    </w:p>
    <w:p>
      <w:pPr>
        <w:ind w:firstLine="480"/>
        <w:spacing w:line="360" w:lineRule="auto"/>
        <w:rPr>
          <w:rFonts w:hint="default" w:ascii="Times New Roman" w:hAnsi="Times New Roman" w:cs="Times New Roman"/>
          <w:color w:val="000000" w:themeColor="text1"/>
          <w:sz w:val="24"/>
          <w:szCs w:val="24"/>
          <w:highlight w:val="none"/>
        </w:rPr>
      </w:pPr>
      <w:r>
        <w:rPr>
          <w:color w:val="000000" w:themeColor="text1"/>
        </w:rPr>
      </w:r>
      <w:bookmarkStart w:id="33" w:name="OLE_LINK21"/>
      <w:r>
        <w:rPr>
          <w:color w:val="000000" w:themeColor="text1"/>
        </w:rPr>
      </w:r>
      <w:bookmarkStart w:id="34" w:name="OLE_LINK20"/>
      <w:r>
        <w:rPr>
          <w:rFonts w:hint="default" w:ascii="Times New Roman" w:hAnsi="Times New Roman" w:cs="Times New Roman"/>
          <w:color w:val="000000" w:themeColor="text1"/>
          <w:sz w:val="24"/>
          <w:szCs w:val="24"/>
          <w:highlight w:val="none"/>
        </w:rPr>
        <w:t xml:space="preserve">根据投标人针对本项目项目物资配备方案进行评分，方案内容至少包括:①物资配备原则、②防暴物资配备方案及通讯物资配备方案等，方案内容针对本项目且符合本项目实际需求的，</w:t>
      </w:r>
      <w:bookmarkEnd w:id="33"/>
      <w:r>
        <w:rPr>
          <w:color w:val="000000" w:themeColor="text1"/>
        </w:rPr>
      </w:r>
      <w:bookmarkEnd w:id="34"/>
      <w:r>
        <w:rPr>
          <w:rFonts w:hint="eastAsia" w:ascii="Times New Roman" w:cs="Times New Roman"/>
          <w:color w:val="000000" w:themeColor="text1"/>
          <w:sz w:val="24"/>
          <w:szCs w:val="24"/>
          <w:highlight w:val="none"/>
          <w:lang w:val="en-US" w:eastAsia="zh-CN"/>
        </w:rPr>
        <w:t xml:space="preserve">每</w:t>
      </w:r>
      <w:r>
        <w:rPr>
          <w:rFonts w:hint="default" w:ascii="Times New Roman" w:hAnsi="Times New Roman" w:cs="Times New Roman"/>
          <w:color w:val="000000" w:themeColor="text1"/>
          <w:sz w:val="24"/>
          <w:szCs w:val="24"/>
          <w:highlight w:val="none"/>
        </w:rPr>
        <w:t xml:space="preserve">满足一项得</w:t>
      </w:r>
      <w:r>
        <w:rPr>
          <w:rFonts w:hint="eastAsia" w:ascii="Times New Roman" w:cs="Times New Roman"/>
          <w:color w:val="000000" w:themeColor="text1"/>
          <w:sz w:val="24"/>
          <w:szCs w:val="24"/>
          <w:highlight w:val="none"/>
          <w:lang w:val="en-US" w:eastAsia="zh-CN"/>
        </w:rPr>
        <w:t xml:space="preserve">2分，最高得4分。</w:t>
      </w:r>
      <w:r>
        <w:rPr>
          <w:color w:val="000000" w:themeColor="text1"/>
        </w:rPr>
      </w:r>
      <w:r/>
    </w:p>
    <w:p>
      <w:pPr>
        <w:ind w:firstLine="482"/>
        <w:spacing w:line="360" w:lineRule="auto"/>
        <w:tabs>
          <w:tab w:val="left" w:pos="-3420" w:leader="none"/>
          <w:tab w:val="left" w:pos="1620" w:leader="none"/>
        </w:tabs>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（三）人员配备（</w:t>
      </w:r>
      <w:r>
        <w:rPr>
          <w:rFonts w:hint="eastAsia" w:ascii="Times New Roman" w:cs="Times New Roman"/>
          <w:b/>
          <w:color w:val="000000" w:themeColor="text1"/>
          <w:sz w:val="24"/>
          <w:szCs w:val="24"/>
          <w:highlight w:val="none"/>
          <w:lang w:val="en-US" w:eastAsia="zh-CN"/>
        </w:rPr>
        <w:t xml:space="preserve">28</w:t>
      </w:r>
      <w:r>
        <w:rPr>
          <w:rFonts w:hint="default" w:ascii="Times New Roman" w:hAnsi="Times New Roman" w:cs="Times New Roman"/>
          <w:b/>
          <w:color w:val="000000" w:themeColor="text1"/>
          <w:sz w:val="24"/>
          <w:szCs w:val="24"/>
          <w:highlight w:val="none"/>
        </w:rPr>
        <w:t xml:space="preserve">分）</w:t>
      </w:r>
      <w:r>
        <w:rPr>
          <w:color w:val="000000" w:themeColor="text1"/>
        </w:rPr>
      </w:r>
      <w:r/>
    </w:p>
    <w:p>
      <w:pPr>
        <w:ind w:firstLine="482"/>
        <w:spacing w:line="360" w:lineRule="auto"/>
        <w:tabs>
          <w:tab w:val="left" w:pos="-3420" w:leader="none"/>
          <w:tab w:val="left" w:pos="1620" w:leader="none"/>
        </w:tabs>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1、项目负责人（8分）</w:t>
      </w:r>
      <w:r>
        <w:rPr>
          <w:color w:val="000000" w:themeColor="text1"/>
        </w:rPr>
      </w:r>
      <w:r/>
    </w:p>
    <w:p>
      <w:pPr>
        <w:ind w:firstLine="480"/>
        <w:spacing w:line="360" w:lineRule="auto"/>
        <w:tabs>
          <w:tab w:val="left" w:pos="-3420" w:leader="none"/>
          <w:tab w:val="left" w:pos="1620" w:leader="none"/>
        </w:tabs>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项目负责人具备高级及以上保安员证、退伍军人证、消防设施操作员证、安全员证、安检证、本科学历及以上、应急救援员证、</w:t>
      </w:r>
      <w:r>
        <w:rPr>
          <w:rFonts w:hint="default" w:ascii="Times New Roman" w:hAnsi="Times New Roman" w:cs="Times New Roman"/>
          <w:color w:val="000000" w:themeColor="text1"/>
          <w:sz w:val="24"/>
          <w:szCs w:val="24"/>
          <w:highlight w:val="none"/>
          <w:lang w:val="zh-CN"/>
        </w:rPr>
        <w:t xml:space="preserve">普通话等级证书</w:t>
      </w:r>
      <w:r>
        <w:rPr>
          <w:rFonts w:hint="default" w:ascii="Times New Roman" w:hAnsi="Times New Roman" w:cs="Times New Roman"/>
          <w:color w:val="000000" w:themeColor="text1"/>
          <w:sz w:val="24"/>
          <w:szCs w:val="24"/>
          <w:highlight w:val="none"/>
        </w:rPr>
        <w:t xml:space="preserve">，</w:t>
      </w:r>
      <w:r>
        <w:rPr>
          <w:rFonts w:hint="eastAsia" w:ascii="Times New Roman" w:cs="Times New Roman"/>
          <w:color w:val="000000" w:themeColor="text1"/>
          <w:sz w:val="24"/>
          <w:szCs w:val="24"/>
          <w:highlight w:val="none"/>
          <w:lang w:val="en-US" w:eastAsia="zh-CN"/>
        </w:rPr>
        <w:t xml:space="preserve">每</w:t>
      </w:r>
      <w:r>
        <w:rPr>
          <w:rFonts w:hint="default" w:ascii="Times New Roman" w:hAnsi="Times New Roman" w:cs="Times New Roman"/>
          <w:color w:val="000000" w:themeColor="text1"/>
          <w:sz w:val="24"/>
          <w:szCs w:val="24"/>
          <w:highlight w:val="none"/>
        </w:rPr>
        <w:t xml:space="preserve">满足一项得1分，共8分（提供相应证明材料及近期任意1个月投标单位为其缴纳社保的证明材料并加盖公章，否则不得分）。</w:t>
      </w:r>
      <w:r>
        <w:rPr>
          <w:color w:val="000000" w:themeColor="text1"/>
        </w:rPr>
      </w:r>
      <w:r/>
    </w:p>
    <w:p>
      <w:pPr>
        <w:ind w:firstLine="482"/>
        <w:spacing w:line="360" w:lineRule="auto"/>
        <w:rPr>
          <w:rFonts w:hint="default" w:ascii="Times New Roman" w:hAnsi="Times New Roman" w:cs="Times New Roman"/>
          <w:b/>
          <w:bCs/>
          <w:color w:val="000000" w:themeColor="text1"/>
          <w:sz w:val="24"/>
          <w:szCs w:val="24"/>
          <w:highlight w:val="none"/>
        </w:rPr>
      </w:pPr>
      <w:r>
        <w:rPr>
          <w:rFonts w:hint="default" w:ascii="Times New Roman" w:hAnsi="Times New Roman" w:cs="Times New Roman"/>
          <w:b/>
          <w:bCs/>
          <w:color w:val="000000" w:themeColor="text1"/>
          <w:sz w:val="24"/>
          <w:szCs w:val="24"/>
          <w:highlight w:val="none"/>
        </w:rPr>
        <w:t xml:space="preserve">2、保安队长（8分）</w:t>
      </w:r>
      <w:r>
        <w:rPr>
          <w:color w:val="000000" w:themeColor="text1"/>
        </w:rPr>
      </w:r>
      <w:r/>
    </w:p>
    <w:p>
      <w:pPr>
        <w:ind w:firstLine="480"/>
        <w:spacing w:line="360" w:lineRule="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保安队长具备高级及以上保安员证、消防设施操作员证、红十字会颁发的应急救护证、大专及以上学历的，</w:t>
      </w:r>
      <w:r>
        <w:rPr>
          <w:rFonts w:hint="eastAsia" w:ascii="Times New Roman" w:cs="Times New Roman"/>
          <w:color w:val="000000" w:themeColor="text1"/>
          <w:sz w:val="24"/>
          <w:szCs w:val="24"/>
          <w:highlight w:val="none"/>
          <w:lang w:val="en-US" w:eastAsia="zh-CN"/>
        </w:rPr>
        <w:t xml:space="preserve">每</w:t>
      </w:r>
      <w:r>
        <w:rPr>
          <w:rFonts w:hint="default" w:ascii="Times New Roman" w:hAnsi="Times New Roman" w:cs="Times New Roman"/>
          <w:color w:val="000000" w:themeColor="text1"/>
          <w:sz w:val="24"/>
          <w:szCs w:val="24"/>
          <w:highlight w:val="none"/>
        </w:rPr>
        <w:t xml:space="preserve">满足一项得2分，最高得8分（提供相应证明材料及近期任意1个月投标单位为其缴纳社保的证明材料并加盖公章，否则不得分）。</w:t>
      </w:r>
      <w:r>
        <w:rPr>
          <w:color w:val="000000" w:themeColor="text1"/>
        </w:rPr>
      </w:r>
      <w:r/>
    </w:p>
    <w:p>
      <w:pPr>
        <w:ind w:firstLine="482"/>
        <w:spacing w:line="360" w:lineRule="auto"/>
        <w:tabs>
          <w:tab w:val="left" w:pos="-3420" w:leader="none"/>
          <w:tab w:val="left" w:pos="1620" w:leader="none"/>
        </w:tabs>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3、保安员</w:t>
      </w:r>
      <w:r>
        <w:rPr>
          <w:rFonts w:hint="default" w:ascii="Times New Roman" w:hAnsi="Times New Roman" w:cs="Times New Roman"/>
          <w:b/>
          <w:bCs/>
          <w:color w:val="000000" w:themeColor="text1"/>
          <w:sz w:val="24"/>
          <w:szCs w:val="24"/>
          <w:highlight w:val="none"/>
        </w:rPr>
        <w:t xml:space="preserve">（不包括项目负责人和保安队长）</w:t>
      </w:r>
      <w:r>
        <w:rPr>
          <w:rFonts w:hint="default" w:ascii="Times New Roman" w:hAnsi="Times New Roman" w:cs="Times New Roman"/>
          <w:b/>
          <w:color w:val="000000" w:themeColor="text1"/>
          <w:sz w:val="24"/>
          <w:szCs w:val="24"/>
          <w:highlight w:val="none"/>
        </w:rPr>
        <w:t xml:space="preserve">（</w:t>
      </w:r>
      <w:r>
        <w:rPr>
          <w:rFonts w:hint="eastAsia" w:ascii="Times New Roman" w:cs="Times New Roman"/>
          <w:b/>
          <w:color w:val="000000" w:themeColor="text1"/>
          <w:sz w:val="24"/>
          <w:szCs w:val="24"/>
          <w:highlight w:val="none"/>
          <w:lang w:val="en-US" w:eastAsia="zh-CN"/>
        </w:rPr>
        <w:t xml:space="preserve">12</w:t>
      </w:r>
      <w:r>
        <w:rPr>
          <w:rFonts w:hint="default" w:ascii="Times New Roman" w:hAnsi="Times New Roman" w:cs="Times New Roman"/>
          <w:b/>
          <w:color w:val="000000" w:themeColor="text1"/>
          <w:sz w:val="24"/>
          <w:szCs w:val="24"/>
          <w:highlight w:val="none"/>
        </w:rPr>
        <w:t xml:space="preserve">分）</w:t>
      </w:r>
      <w:r>
        <w:rPr>
          <w:color w:val="000000" w:themeColor="text1"/>
        </w:rPr>
      </w:r>
      <w:r/>
    </w:p>
    <w:p>
      <w:pPr>
        <w:ind w:firstLine="480"/>
        <w:spacing w:line="360" w:lineRule="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w:t>
      </w:r>
      <w:r>
        <w:rPr>
          <w:rFonts w:hint="eastAsia" w:ascii="Times New Roman" w:cs="Times New Roman"/>
          <w:color w:val="000000" w:themeColor="text1"/>
          <w:sz w:val="24"/>
          <w:szCs w:val="24"/>
          <w:highlight w:val="none"/>
          <w:lang w:val="en-US" w:eastAsia="zh-CN"/>
        </w:rPr>
        <w:t xml:space="preserve">1</w:t>
      </w:r>
      <w:r>
        <w:rPr>
          <w:rFonts w:hint="default" w:ascii="Times New Roman" w:hAnsi="Times New Roman" w:cs="Times New Roman"/>
          <w:color w:val="000000" w:themeColor="text1"/>
          <w:sz w:val="24"/>
          <w:szCs w:val="24"/>
          <w:highlight w:val="none"/>
        </w:rPr>
        <w:t xml:space="preserve">）具有中级消防设施操作员证书，除资格要求规定必须有的中级消防设施操作员证书外，每增加1张证书得</w:t>
      </w:r>
      <w:r>
        <w:rPr>
          <w:rFonts w:hint="eastAsia" w:ascii="Times New Roman" w:cs="Times New Roman"/>
          <w:color w:val="000000" w:themeColor="text1"/>
          <w:sz w:val="24"/>
          <w:szCs w:val="24"/>
          <w:highlight w:val="none"/>
          <w:lang w:val="en-US" w:eastAsia="zh-CN"/>
        </w:rPr>
        <w:t xml:space="preserve">2</w:t>
      </w:r>
      <w:r>
        <w:rPr>
          <w:rFonts w:hint="default" w:ascii="Times New Roman" w:hAnsi="Times New Roman" w:cs="Times New Roman"/>
          <w:color w:val="000000" w:themeColor="text1"/>
          <w:sz w:val="24"/>
          <w:szCs w:val="24"/>
          <w:highlight w:val="none"/>
        </w:rPr>
        <w:t xml:space="preserve">分，最高</w:t>
      </w:r>
      <w:r>
        <w:rPr>
          <w:rFonts w:hint="eastAsia" w:ascii="Times New Roman" w:cs="Times New Roman"/>
          <w:color w:val="000000" w:themeColor="text1"/>
          <w:sz w:val="24"/>
          <w:szCs w:val="24"/>
          <w:highlight w:val="none"/>
          <w:lang w:val="en-US" w:eastAsia="zh-CN"/>
        </w:rPr>
        <w:t xml:space="preserve">6</w:t>
      </w:r>
      <w:r>
        <w:rPr>
          <w:rFonts w:hint="default" w:ascii="Times New Roman" w:hAnsi="Times New Roman" w:cs="Times New Roman"/>
          <w:color w:val="000000" w:themeColor="text1"/>
          <w:sz w:val="24"/>
          <w:szCs w:val="24"/>
          <w:highlight w:val="none"/>
        </w:rPr>
        <w:t xml:space="preserve">分。</w:t>
      </w:r>
      <w:r>
        <w:rPr>
          <w:color w:val="000000" w:themeColor="text1"/>
        </w:rPr>
      </w:r>
      <w:r/>
    </w:p>
    <w:p>
      <w:pPr>
        <w:ind w:firstLine="480"/>
        <w:spacing w:line="360" w:lineRule="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w:t>
      </w:r>
      <w:r>
        <w:rPr>
          <w:rFonts w:hint="eastAsia" w:ascii="Times New Roman" w:cs="Times New Roman"/>
          <w:color w:val="000000" w:themeColor="text1"/>
          <w:sz w:val="24"/>
          <w:szCs w:val="24"/>
          <w:highlight w:val="none"/>
          <w:lang w:val="en-US" w:eastAsia="zh-CN"/>
        </w:rPr>
        <w:t xml:space="preserve">2</w:t>
      </w:r>
      <w:r>
        <w:rPr>
          <w:rFonts w:hint="default" w:ascii="Times New Roman" w:hAnsi="Times New Roman" w:cs="Times New Roman"/>
          <w:color w:val="000000" w:themeColor="text1"/>
          <w:sz w:val="24"/>
          <w:szCs w:val="24"/>
          <w:highlight w:val="none"/>
        </w:rPr>
        <w:t xml:space="preserve">）具有应急救援员证或红十字会颁发的应急救护证每增加1张证书得</w:t>
      </w:r>
      <w:r>
        <w:rPr>
          <w:rFonts w:hint="eastAsia" w:ascii="Times New Roman" w:cs="Times New Roman"/>
          <w:color w:val="000000" w:themeColor="text1"/>
          <w:sz w:val="24"/>
          <w:szCs w:val="24"/>
          <w:highlight w:val="none"/>
          <w:lang w:val="en-US" w:eastAsia="zh-CN"/>
        </w:rPr>
        <w:t xml:space="preserve">2</w:t>
      </w:r>
      <w:r>
        <w:rPr>
          <w:rFonts w:hint="default" w:ascii="Times New Roman" w:hAnsi="Times New Roman" w:cs="Times New Roman"/>
          <w:color w:val="000000" w:themeColor="text1"/>
          <w:sz w:val="24"/>
          <w:szCs w:val="24"/>
          <w:highlight w:val="none"/>
        </w:rPr>
        <w:t xml:space="preserve">分，最高</w:t>
      </w:r>
      <w:r>
        <w:rPr>
          <w:rFonts w:hint="eastAsia" w:ascii="Times New Roman" w:cs="Times New Roman"/>
          <w:color w:val="000000" w:themeColor="text1"/>
          <w:sz w:val="24"/>
          <w:szCs w:val="24"/>
          <w:highlight w:val="none"/>
          <w:lang w:val="en-US" w:eastAsia="zh-CN"/>
        </w:rPr>
        <w:t xml:space="preserve">4</w:t>
      </w:r>
      <w:r>
        <w:rPr>
          <w:rFonts w:hint="default" w:ascii="Times New Roman" w:hAnsi="Times New Roman" w:cs="Times New Roman"/>
          <w:color w:val="000000" w:themeColor="text1"/>
          <w:sz w:val="24"/>
          <w:szCs w:val="24"/>
          <w:highlight w:val="none"/>
        </w:rPr>
        <w:t xml:space="preserve">分。</w:t>
      </w:r>
      <w:r>
        <w:rPr>
          <w:color w:val="000000" w:themeColor="text1"/>
        </w:rPr>
      </w:r>
      <w:r/>
    </w:p>
    <w:p>
      <w:pPr>
        <w:pStyle w:val="822"/>
        <w:ind w:left="0" w:firstLine="480"/>
        <w:spacing w:after="0" w:line="360" w:lineRule="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w:t>
      </w:r>
      <w:r>
        <w:rPr>
          <w:rFonts w:hint="eastAsia" w:ascii="Times New Roman" w:cs="Times New Roman"/>
          <w:color w:val="000000" w:themeColor="text1"/>
          <w:sz w:val="24"/>
          <w:szCs w:val="24"/>
          <w:highlight w:val="none"/>
          <w:lang w:val="en-US" w:eastAsia="zh-CN"/>
        </w:rPr>
        <w:t xml:space="preserve">3</w:t>
      </w:r>
      <w:r>
        <w:rPr>
          <w:rFonts w:hint="default" w:ascii="Times New Roman" w:hAnsi="Times New Roman" w:cs="Times New Roman"/>
          <w:color w:val="000000" w:themeColor="text1"/>
          <w:sz w:val="24"/>
          <w:szCs w:val="24"/>
          <w:highlight w:val="none"/>
        </w:rPr>
        <w:t xml:space="preserve">）具有普通话证书的，每增加1张证书得1分，最高2分。</w:t>
      </w:r>
      <w:r>
        <w:rPr>
          <w:color w:val="000000" w:themeColor="text1"/>
        </w:rPr>
      </w:r>
      <w:r/>
    </w:p>
    <w:p>
      <w:pPr>
        <w:ind w:firstLine="480"/>
        <w:spacing w:line="360" w:lineRule="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注：一人多证可兼得分，本项最高得</w:t>
      </w:r>
      <w:r>
        <w:rPr>
          <w:rFonts w:hint="eastAsia" w:ascii="Times New Roman" w:cs="Times New Roman"/>
          <w:color w:val="000000" w:themeColor="text1"/>
          <w:sz w:val="24"/>
          <w:szCs w:val="24"/>
          <w:highlight w:val="none"/>
          <w:lang w:val="en-US" w:eastAsia="zh-CN"/>
        </w:rPr>
        <w:t xml:space="preserve">12</w:t>
      </w:r>
      <w:bookmarkStart w:id="227" w:name="_GoBack"/>
      <w:r>
        <w:rPr>
          <w:color w:val="000000" w:themeColor="text1"/>
        </w:rPr>
      </w:r>
      <w:bookmarkEnd w:id="227"/>
      <w:r>
        <w:rPr>
          <w:rFonts w:hint="default" w:ascii="Times New Roman" w:hAnsi="Times New Roman" w:cs="Times New Roman"/>
          <w:color w:val="000000" w:themeColor="text1"/>
          <w:sz w:val="24"/>
          <w:szCs w:val="24"/>
          <w:highlight w:val="none"/>
        </w:rPr>
        <w:t xml:space="preserve">分。需提供证书及投标截止日前1个月投标单位为其缴纳社保的证明材料并加盖公章，否则不得分。</w:t>
      </w:r>
      <w:r>
        <w:rPr>
          <w:color w:val="000000" w:themeColor="text1"/>
        </w:rPr>
      </w:r>
      <w:r/>
    </w:p>
    <w:p>
      <w:pPr>
        <w:ind w:firstLine="482"/>
        <w:spacing w:line="360" w:lineRule="auto"/>
        <w:tabs>
          <w:tab w:val="left" w:pos="-3420" w:leader="none"/>
          <w:tab w:val="left" w:pos="1620" w:leader="none"/>
        </w:tabs>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（四）类似业绩（1</w:t>
      </w:r>
      <w:r>
        <w:rPr>
          <w:rFonts w:hint="eastAsia" w:ascii="Times New Roman" w:cs="Times New Roman"/>
          <w:b/>
          <w:color w:val="000000" w:themeColor="text1"/>
          <w:sz w:val="24"/>
          <w:szCs w:val="24"/>
          <w:highlight w:val="none"/>
          <w:lang w:val="en-US" w:eastAsia="zh-CN"/>
        </w:rPr>
        <w:t xml:space="preserve">2</w:t>
      </w:r>
      <w:r>
        <w:rPr>
          <w:rFonts w:hint="default" w:ascii="Times New Roman" w:hAnsi="Times New Roman" w:cs="Times New Roman"/>
          <w:b/>
          <w:color w:val="000000" w:themeColor="text1"/>
          <w:sz w:val="24"/>
          <w:szCs w:val="24"/>
          <w:highlight w:val="none"/>
        </w:rPr>
        <w:t xml:space="preserve">分）</w:t>
      </w:r>
      <w:r>
        <w:rPr>
          <w:color w:val="000000" w:themeColor="text1"/>
        </w:rPr>
      </w:r>
      <w:r/>
    </w:p>
    <w:p>
      <w:pPr>
        <w:ind w:firstLine="480"/>
        <w:spacing w:line="360" w:lineRule="auto"/>
        <w:rPr>
          <w:rFonts w:hint="default" w:ascii="Times New Roman" w:hAnsi="Times New Roman" w:cs="Times New Roman"/>
          <w:b/>
          <w:bCs/>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投标单位自202</w:t>
      </w:r>
      <w:r>
        <w:rPr>
          <w:rFonts w:hint="eastAsia" w:ascii="Times New Roman" w:cs="Times New Roman"/>
          <w:color w:val="000000" w:themeColor="text1"/>
          <w:sz w:val="24"/>
          <w:szCs w:val="24"/>
          <w:highlight w:val="none"/>
          <w:lang w:val="en-US" w:eastAsia="zh-CN"/>
        </w:rPr>
        <w:t xml:space="preserve">3</w:t>
      </w:r>
      <w:r>
        <w:rPr>
          <w:rFonts w:hint="default" w:ascii="Times New Roman" w:hAnsi="Times New Roman" w:cs="Times New Roman"/>
          <w:color w:val="000000" w:themeColor="text1"/>
          <w:sz w:val="24"/>
          <w:szCs w:val="24"/>
          <w:highlight w:val="none"/>
        </w:rPr>
        <w:t xml:space="preserve">年</w:t>
      </w:r>
      <w:r>
        <w:rPr>
          <w:rFonts w:hint="eastAsia" w:ascii="Times New Roman" w:cs="Times New Roman"/>
          <w:color w:val="000000" w:themeColor="text1"/>
          <w:sz w:val="24"/>
          <w:szCs w:val="24"/>
          <w:highlight w:val="none"/>
          <w:lang w:val="en-US" w:eastAsia="zh-CN"/>
        </w:rPr>
        <w:t xml:space="preserve">01</w:t>
      </w:r>
      <w:r>
        <w:rPr>
          <w:rFonts w:hint="default" w:ascii="Times New Roman" w:hAnsi="Times New Roman" w:cs="Times New Roman"/>
          <w:color w:val="000000" w:themeColor="text1"/>
          <w:sz w:val="24"/>
          <w:szCs w:val="24"/>
          <w:highlight w:val="none"/>
        </w:rPr>
        <w:t xml:space="preserve">月01日至今（以合同签订时间为准）承担的学校或类似的保安服务项目，有一个业绩得2分，最高1</w:t>
      </w:r>
      <w:r>
        <w:rPr>
          <w:rFonts w:hint="eastAsia" w:ascii="Times New Roman" w:cs="Times New Roman"/>
          <w:color w:val="000000" w:themeColor="text1"/>
          <w:sz w:val="24"/>
          <w:szCs w:val="24"/>
          <w:highlight w:val="none"/>
          <w:lang w:val="en-US" w:eastAsia="zh-CN"/>
        </w:rPr>
        <w:t xml:space="preserve">2</w:t>
      </w:r>
      <w:r>
        <w:rPr>
          <w:rFonts w:hint="default" w:ascii="Times New Roman" w:hAnsi="Times New Roman" w:cs="Times New Roman"/>
          <w:color w:val="000000" w:themeColor="text1"/>
          <w:sz w:val="24"/>
          <w:szCs w:val="24"/>
          <w:highlight w:val="none"/>
        </w:rPr>
        <w:t xml:space="preserve">分。（投标单位须提供对应的服务合同、合同期内任意一期服务费发票，不提供不得分。）</w:t>
      </w:r>
      <w:r>
        <w:rPr>
          <w:color w:val="000000" w:themeColor="text1"/>
        </w:rPr>
      </w:r>
      <w:r/>
    </w:p>
    <w:p>
      <w:pPr>
        <w:spacing w:line="360" w:lineRule="auto"/>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r>
      <w:r>
        <w:rPr>
          <w:color w:val="000000" w:themeColor="text1"/>
        </w:rPr>
      </w:r>
      <w:r/>
    </w:p>
    <w:p>
      <w:pPr>
        <w:ind w:firstLine="422"/>
        <w:spacing w:line="360" w:lineRule="auto"/>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注：</w:t>
      </w:r>
      <w:r>
        <w:rPr>
          <w:color w:val="000000" w:themeColor="text1"/>
        </w:rPr>
      </w:r>
      <w:r/>
    </w:p>
    <w:p>
      <w:pPr>
        <w:ind w:firstLine="420"/>
        <w:spacing w:line="360" w:lineRule="auto"/>
        <w:rPr>
          <w:rFonts w:hint="default" w:ascii="Times New Roman" w:hAnsi="Times New Roman" w:cs="Times New Roman"/>
          <w:bCs/>
          <w:color w:val="000000" w:themeColor="text1"/>
          <w:sz w:val="24"/>
          <w:szCs w:val="24"/>
          <w:highlight w:val="none"/>
        </w:rPr>
      </w:pPr>
      <w:r>
        <w:rPr>
          <w:rFonts w:hint="default" w:ascii="Times New Roman" w:hAnsi="Times New Roman" w:cs="Times New Roman"/>
          <w:bCs/>
          <w:color w:val="000000" w:themeColor="text1"/>
          <w:sz w:val="24"/>
          <w:szCs w:val="24"/>
          <w:highlight w:val="none"/>
        </w:rPr>
        <w:t xml:space="preserve">1、针对评分标准中评分的每一条，投标人均应提供相关资料并作出相应说明供评委评判，</w:t>
      </w:r>
      <w:r>
        <w:rPr>
          <w:rFonts w:hint="default" w:ascii="Times New Roman" w:hAnsi="Times New Roman" w:cs="Times New Roman"/>
          <w:b/>
          <w:bCs/>
          <w:color w:val="000000" w:themeColor="text1"/>
          <w:sz w:val="24"/>
          <w:szCs w:val="24"/>
          <w:highlight w:val="none"/>
        </w:rPr>
        <w:t xml:space="preserve">证明材料的原件扫描件或复印件应加盖投标人公章扫描（或电子签章）后上传，</w:t>
      </w:r>
      <w:r>
        <w:rPr>
          <w:rFonts w:hint="default" w:ascii="Times New Roman" w:hAnsi="Times New Roman" w:cs="Times New Roman"/>
          <w:bCs/>
          <w:color w:val="000000" w:themeColor="text1"/>
          <w:sz w:val="24"/>
          <w:szCs w:val="24"/>
          <w:highlight w:val="none"/>
        </w:rPr>
        <w:t xml:space="preserve">不提供相关资料的视为不具备该项得分的条件。 </w:t>
      </w:r>
      <w:r>
        <w:rPr>
          <w:color w:val="000000" w:themeColor="text1"/>
        </w:rPr>
      </w:r>
      <w:r/>
    </w:p>
    <w:p>
      <w:pPr>
        <w:ind w:firstLine="420"/>
        <w:spacing w:line="360" w:lineRule="auto"/>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 xml:space="preserve">2、投标报价超过预算金额及限价的，为无效标。</w:t>
      </w:r>
      <w:r/>
    </w:p>
    <w:p>
      <w:pPr>
        <w:ind w:firstLine="420"/>
        <w:spacing w:line="360" w:lineRule="auto"/>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 xml:space="preserve">3、所有证明材料字迹须清晰可见，字迹不清晰或扫描不全，视为未提供，影响评分情况，是投标人的责任。</w:t>
      </w:r>
      <w:r/>
    </w:p>
    <w:p>
      <w:pPr>
        <w:ind w:firstLine="420"/>
        <w:spacing w:line="360" w:lineRule="auto"/>
        <w:rPr>
          <w:rFonts w:hint="default" w:ascii="Times New Roman" w:hAnsi="Times New Roman" w:cs="Times New Roman"/>
          <w:bCs/>
          <w:sz w:val="24"/>
          <w:szCs w:val="24"/>
          <w:highlight w:val="none"/>
        </w:rPr>
      </w:pPr>
      <w:r>
        <w:rPr>
          <w:rFonts w:hint="default" w:ascii="Times New Roman" w:hAnsi="Times New Roman" w:cs="Times New Roman"/>
          <w:bCs/>
          <w:sz w:val="24"/>
          <w:szCs w:val="24"/>
          <w:highlight w:val="none"/>
        </w:rPr>
        <w:t xml:space="preserve">4、付款步骤、履约期限、考核标准不得负偏离，否则视为无效响应。</w:t>
      </w:r>
      <w:r/>
    </w:p>
    <w:p>
      <w:pPr>
        <w:ind w:firstLine="420"/>
        <w:spacing w:line="360" w:lineRule="auto"/>
        <w:rPr>
          <w:rFonts w:hint="default" w:ascii="Times New Roman" w:hAnsi="Times New Roman" w:cs="Times New Roman"/>
          <w:bCs/>
          <w:sz w:val="21"/>
          <w:szCs w:val="21"/>
          <w:highlight w:val="none"/>
        </w:rPr>
      </w:pPr>
      <w:r>
        <w:rPr>
          <w:rFonts w:hint="default" w:ascii="Times New Roman" w:hAnsi="Times New Roman" w:cs="Times New Roman"/>
          <w:bCs/>
          <w:sz w:val="21"/>
          <w:szCs w:val="21"/>
          <w:highlight w:val="none"/>
        </w:rPr>
      </w:r>
      <w:r/>
    </w:p>
    <w:p>
      <w:pPr>
        <w:ind w:firstLine="420"/>
        <w:spacing w:line="360" w:lineRule="auto"/>
        <w:rPr>
          <w:rFonts w:hint="default" w:ascii="Times New Roman" w:hAnsi="Times New Roman" w:cs="Times New Roman"/>
          <w:bCs/>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bCs/>
          <w:sz w:val="21"/>
          <w:szCs w:val="21"/>
          <w:highlight w:val="none"/>
        </w:rPr>
      </w:r>
      <w:r/>
    </w:p>
    <w:p>
      <w:pPr>
        <w:ind w:firstLine="420"/>
        <w:spacing w:line="360" w:lineRule="auto"/>
        <w:rPr>
          <w:rFonts w:hint="default" w:ascii="Times New Roman" w:hAnsi="Times New Roman" w:cs="Times New Roman"/>
          <w:bCs/>
          <w:sz w:val="21"/>
          <w:szCs w:val="21"/>
          <w:highlight w:val="none"/>
        </w:rPr>
      </w:pPr>
      <w:r>
        <w:rPr>
          <w:rFonts w:hint="default" w:ascii="Times New Roman" w:hAnsi="Times New Roman" w:cs="Times New Roman"/>
          <w:bCs/>
          <w:sz w:val="21"/>
          <w:szCs w:val="21"/>
          <w:highlight w:val="none"/>
        </w:rPr>
      </w:r>
      <w:r/>
    </w:p>
    <w:p>
      <w:pPr>
        <w:jc w:val="center"/>
        <w:rPr>
          <w:rFonts w:hint="default" w:ascii="Times New Roman" w:hAnsi="Times New Roman" w:cs="Times New Roman"/>
          <w:b/>
          <w:bCs/>
          <w:sz w:val="32"/>
          <w:szCs w:val="32"/>
          <w:highlight w:val="none"/>
        </w:rPr>
        <w:outlineLvl w:val="0"/>
      </w:pPr>
      <w:r/>
      <w:bookmarkStart w:id="35" w:name="_Toc159507039"/>
      <w:r>
        <w:rPr>
          <w:rFonts w:hint="default" w:ascii="Times New Roman" w:hAnsi="Times New Roman" w:cs="Times New Roman"/>
          <w:b/>
          <w:bCs/>
          <w:sz w:val="32"/>
          <w:szCs w:val="32"/>
          <w:highlight w:val="none"/>
        </w:rPr>
        <w:t xml:space="preserve">第五章 投标文件格式</w:t>
      </w:r>
      <w:bookmarkEnd w:id="35"/>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2"/>
          <w:highlight w:val="none"/>
          <w:shd w:val="clear" w:color="auto" w:fill="ffffff"/>
        </w:rPr>
      </w:pPr>
      <w:r>
        <w:rPr>
          <w:rFonts w:hint="default" w:ascii="Times New Roman" w:hAnsi="Times New Roman" w:cs="Times New Roman"/>
          <w:sz w:val="22"/>
          <w:highlight w:val="none"/>
          <w:shd w:val="clear" w:color="auto" w:fill="ffffff"/>
        </w:rPr>
        <w:t xml:space="preserve">说明： </w:t>
      </w:r>
      <w:r/>
    </w:p>
    <w:p>
      <w:pPr>
        <w:pStyle w:val="821"/>
        <w:ind w:left="0" w:firstLine="440"/>
        <w:jc w:val="both"/>
        <w:spacing w:before="0" w:line="360" w:lineRule="auto"/>
        <w:rPr>
          <w:rFonts w:hint="default" w:ascii="Times New Roman" w:hAnsi="Times New Roman" w:cs="Times New Roman"/>
          <w:sz w:val="22"/>
          <w:highlight w:val="none"/>
          <w:shd w:val="clear" w:color="auto" w:fill="ffffff"/>
        </w:rPr>
      </w:pPr>
      <w:r>
        <w:rPr>
          <w:rFonts w:hint="default" w:ascii="Times New Roman" w:hAnsi="Times New Roman" w:cs="Times New Roman"/>
          <w:sz w:val="22"/>
          <w:highlight w:val="none"/>
          <w:shd w:val="clear" w:color="auto" w:fill="ffffff"/>
        </w:rPr>
        <w:t xml:space="preserve">1、对本章所有的格式，供应商可根据自身情况进行补充和修改，但补充和修改不得造成与本格式内容有实质性的违背。</w:t>
      </w:r>
      <w:r/>
    </w:p>
    <w:p>
      <w:pPr>
        <w:pStyle w:val="821"/>
        <w:ind w:left="0" w:firstLine="440"/>
        <w:jc w:val="both"/>
        <w:spacing w:before="0" w:line="360" w:lineRule="auto"/>
        <w:rPr>
          <w:rFonts w:hint="default" w:ascii="Times New Roman" w:hAnsi="Times New Roman" w:cs="Times New Roman"/>
          <w:sz w:val="22"/>
          <w:highlight w:val="none"/>
          <w:shd w:val="clear" w:color="auto" w:fill="ffffff"/>
        </w:rPr>
      </w:pPr>
      <w:r>
        <w:rPr>
          <w:rFonts w:hint="default" w:ascii="Times New Roman" w:hAnsi="Times New Roman" w:cs="Times New Roman"/>
          <w:sz w:val="22"/>
          <w:highlight w:val="none"/>
          <w:shd w:val="clear" w:color="auto" w:fill="ffffff"/>
        </w:rPr>
        <w:t xml:space="preserve">2、所附表格中要求回答的全部问题和信息都必须正面回答。</w:t>
      </w:r>
      <w:r/>
    </w:p>
    <w:p>
      <w:pPr>
        <w:pStyle w:val="821"/>
        <w:ind w:left="0" w:firstLine="440"/>
        <w:jc w:val="both"/>
        <w:spacing w:before="0" w:line="360" w:lineRule="auto"/>
        <w:rPr>
          <w:rFonts w:hint="default" w:ascii="Times New Roman" w:hAnsi="Times New Roman" w:cs="Times New Roman"/>
          <w:sz w:val="22"/>
          <w:highlight w:val="none"/>
          <w:shd w:val="clear" w:color="auto" w:fill="ffffff"/>
        </w:rPr>
      </w:pPr>
      <w:r>
        <w:rPr>
          <w:rFonts w:hint="default" w:ascii="Times New Roman" w:hAnsi="Times New Roman" w:cs="Times New Roman"/>
          <w:sz w:val="22"/>
          <w:highlight w:val="none"/>
          <w:shd w:val="clear" w:color="auto" w:fill="ffffff"/>
        </w:rPr>
        <w:t xml:space="preserve">3、本资格声明的签字人应保证全部声明和问题的回答是真实的和准确的。</w:t>
      </w:r>
      <w:r/>
    </w:p>
    <w:p>
      <w:pPr>
        <w:pStyle w:val="821"/>
        <w:ind w:left="0" w:firstLine="440"/>
        <w:jc w:val="both"/>
        <w:spacing w:before="0" w:line="360" w:lineRule="auto"/>
        <w:rPr>
          <w:rFonts w:hint="default" w:ascii="Times New Roman" w:hAnsi="Times New Roman" w:cs="Times New Roman"/>
          <w:sz w:val="22"/>
          <w:highlight w:val="none"/>
          <w:shd w:val="clear" w:color="auto" w:fill="ffffff"/>
        </w:rPr>
      </w:pPr>
      <w:r>
        <w:rPr>
          <w:rFonts w:hint="default" w:ascii="Times New Roman" w:hAnsi="Times New Roman" w:cs="Times New Roman"/>
          <w:sz w:val="22"/>
          <w:highlight w:val="none"/>
          <w:shd w:val="clear" w:color="auto" w:fill="ffffff"/>
        </w:rPr>
        <w:t xml:space="preserve">4、投标人提交的材料将被保密保存，但不退还。</w:t>
      </w:r>
      <w:r/>
    </w:p>
    <w:p>
      <w:pPr>
        <w:pStyle w:val="821"/>
        <w:ind w:left="0" w:firstLine="440"/>
        <w:jc w:val="both"/>
        <w:spacing w:before="0" w:line="360" w:lineRule="auto"/>
        <w:rPr>
          <w:rFonts w:hint="default" w:ascii="Times New Roman" w:hAnsi="Times New Roman" w:cs="Times New Roman"/>
          <w:sz w:val="22"/>
          <w:highlight w:val="none"/>
          <w:shd w:val="clear" w:color="auto" w:fill="ffffff"/>
        </w:rPr>
      </w:pPr>
      <w:r>
        <w:rPr>
          <w:rFonts w:hint="default" w:ascii="Times New Roman" w:hAnsi="Times New Roman" w:cs="Times New Roman"/>
          <w:sz w:val="22"/>
          <w:highlight w:val="none"/>
          <w:shd w:val="clear" w:color="auto" w:fill="ffffff"/>
        </w:rPr>
        <w:t xml:space="preserve">5、全部文件应按投标人须知中规定的语言和份数提交。</w:t>
      </w:r>
      <w:r/>
    </w:p>
    <w:p>
      <w:pPr>
        <w:pStyle w:val="821"/>
        <w:ind w:left="0"/>
        <w:jc w:val="both"/>
        <w:spacing w:before="0" w:line="360" w:lineRule="auto"/>
        <w:rPr>
          <w:rFonts w:hint="default" w:ascii="Times New Roman" w:hAnsi="Times New Roman" w:cs="Times New Roman"/>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b/>
          <w:bCs/>
          <w:sz w:val="44"/>
          <w:szCs w:val="44"/>
          <w:highlight w:val="none"/>
        </w:rPr>
      </w:pPr>
      <w:r/>
      <w:bookmarkStart w:id="36" w:name="_Toc467507044"/>
      <w:r/>
      <w:bookmarkStart w:id="37" w:name="_Toc430265233"/>
      <w:r/>
      <w:bookmarkStart w:id="38" w:name="_Toc322442932"/>
      <w:r/>
      <w:bookmarkStart w:id="39" w:name="_Toc405288080"/>
      <w:r/>
      <w:bookmarkStart w:id="40" w:name="_Toc467507054"/>
      <w:r>
        <w:rPr>
          <w:rFonts w:hint="default" w:ascii="Times New Roman" w:hAnsi="Times New Roman" w:cs="Times New Roman"/>
          <w:b/>
          <w:bCs/>
          <w:sz w:val="32"/>
          <w:szCs w:val="32"/>
          <w:highlight w:val="none"/>
        </w:rPr>
        <w:t xml:space="preserve">封 面 ：</w:t>
      </w:r>
      <w:r>
        <w:rPr>
          <w:rFonts w:hint="default" w:ascii="Times New Roman" w:hAnsi="Times New Roman" w:cs="Times New Roman"/>
          <w:b/>
          <w:bCs/>
          <w:sz w:val="44"/>
          <w:szCs w:val="44"/>
          <w:highlight w:val="none"/>
        </w:rPr>
        <w:t xml:space="preserve">                          </w:t>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center"/>
        <w:spacing w:before="0" w:line="360" w:lineRule="auto"/>
        <w:rPr>
          <w:rFonts w:hint="default" w:ascii="Times New Roman" w:hAnsi="Times New Roman" w:cs="Times New Roman"/>
          <w:b/>
          <w:bCs/>
          <w:sz w:val="72"/>
          <w:szCs w:val="72"/>
          <w:highlight w:val="none"/>
        </w:rPr>
      </w:pPr>
      <w:r>
        <w:rPr>
          <w:rFonts w:hint="default" w:ascii="Times New Roman" w:hAnsi="Times New Roman" w:cs="Times New Roman"/>
          <w:b/>
          <w:bCs/>
          <w:sz w:val="72"/>
          <w:szCs w:val="72"/>
          <w:highlight w:val="none"/>
        </w:rPr>
        <w:t xml:space="preserve">投标文件</w:t>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b/>
          <w:bCs/>
          <w:sz w:val="32"/>
          <w:szCs w:val="32"/>
          <w:highlight w:val="none"/>
        </w:rPr>
      </w:pPr>
      <w:r>
        <w:rPr>
          <w:rFonts w:hint="default" w:ascii="Times New Roman" w:hAnsi="Times New Roman" w:cs="Times New Roman"/>
          <w:b/>
          <w:bCs/>
          <w:sz w:val="36"/>
          <w:szCs w:val="36"/>
          <w:highlight w:val="none"/>
        </w:rPr>
        <w:t xml:space="preserve">采购单位：</w:t>
      </w:r>
      <w:r>
        <w:rPr>
          <w:rFonts w:hint="default" w:ascii="Times New Roman" w:hAnsi="Times New Roman" w:cs="Times New Roman"/>
          <w:sz w:val="32"/>
          <w:szCs w:val="32"/>
          <w:highlight w:val="none"/>
        </w:rPr>
        <w:t xml:space="preserve">太仓市实验高级中学</w:t>
      </w:r>
      <w:r/>
    </w:p>
    <w:p>
      <w:pPr>
        <w:pStyle w:val="821"/>
        <w:ind w:left="0"/>
        <w:jc w:val="both"/>
        <w:spacing w:before="0" w:line="360" w:lineRule="auto"/>
        <w:rPr>
          <w:rFonts w:hint="default" w:ascii="Times New Roman" w:hAnsi="Times New Roman" w:cs="Times New Roman"/>
          <w:b/>
          <w:bCs/>
          <w:sz w:val="36"/>
          <w:szCs w:val="36"/>
          <w:highlight w:val="none"/>
        </w:rPr>
      </w:pPr>
      <w:r>
        <w:rPr>
          <w:rFonts w:hint="default" w:ascii="Times New Roman" w:hAnsi="Times New Roman" w:cs="Times New Roman"/>
          <w:b/>
          <w:bCs/>
          <w:sz w:val="36"/>
          <w:szCs w:val="36"/>
          <w:highlight w:val="none"/>
        </w:rPr>
        <w:t xml:space="preserve">项目名称：</w:t>
      </w:r>
      <w:r>
        <w:rPr>
          <w:rFonts w:hint="default" w:ascii="Times New Roman" w:hAnsi="Times New Roman" w:cs="Times New Roman"/>
          <w:sz w:val="32"/>
          <w:szCs w:val="32"/>
          <w:highlight w:val="none"/>
        </w:rPr>
        <w:t xml:space="preserve">太仓市实验高级中学安保服务</w:t>
      </w:r>
      <w:r/>
    </w:p>
    <w:p>
      <w:pPr>
        <w:pStyle w:val="821"/>
        <w:ind w:left="0"/>
        <w:jc w:val="both"/>
        <w:spacing w:before="0" w:line="360" w:lineRule="auto"/>
        <w:rPr>
          <w:rFonts w:hint="default" w:ascii="Times New Roman" w:hAnsi="Times New Roman" w:eastAsia="宋体" w:cs="Times New Roman"/>
          <w:sz w:val="21"/>
          <w:highlight w:val="none"/>
          <w:lang w:eastAsia="zh-CN"/>
        </w:rPr>
      </w:pPr>
      <w:r>
        <w:rPr>
          <w:rFonts w:hint="default" w:ascii="Times New Roman" w:hAnsi="Times New Roman" w:cs="Times New Roman"/>
          <w:b/>
          <w:bCs/>
          <w:sz w:val="36"/>
          <w:szCs w:val="36"/>
          <w:highlight w:val="none"/>
        </w:rPr>
        <w:t xml:space="preserve">项目编号：</w:t>
      </w:r>
      <w:r>
        <w:rPr>
          <w:rFonts w:hint="eastAsia" w:ascii="Times New Roman" w:cs="Times New Roman"/>
          <w:sz w:val="32"/>
          <w:szCs w:val="32"/>
          <w:highlight w:val="none"/>
          <w:lang w:eastAsia="zh-CN"/>
        </w:rPr>
        <w:t xml:space="preserve">JSZC-320585-SUYT-G2026-0001</w:t>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b/>
          <w:bCs/>
          <w:sz w:val="36"/>
          <w:szCs w:val="36"/>
          <w:highlight w:val="none"/>
          <w:u w:val="single"/>
        </w:rPr>
      </w:pPr>
      <w:r>
        <w:rPr>
          <w:rFonts w:hint="default" w:ascii="Times New Roman" w:hAnsi="Times New Roman" w:cs="Times New Roman"/>
          <w:b/>
          <w:bCs/>
          <w:sz w:val="36"/>
          <w:szCs w:val="36"/>
          <w:highlight w:val="none"/>
        </w:rPr>
        <w:t xml:space="preserve">投标人</w:t>
      </w:r>
      <w:r>
        <w:rPr>
          <w:rFonts w:hint="default" w:ascii="Times New Roman" w:hAnsi="Times New Roman" w:cs="Times New Roman"/>
          <w:sz w:val="24"/>
          <w:szCs w:val="24"/>
          <w:highlight w:val="none"/>
        </w:rPr>
        <w:t xml:space="preserve">(盖章)</w:t>
      </w:r>
      <w:r>
        <w:rPr>
          <w:rFonts w:hint="default" w:ascii="Times New Roman" w:hAnsi="Times New Roman" w:cs="Times New Roman"/>
          <w:b/>
          <w:bCs/>
          <w:sz w:val="36"/>
          <w:szCs w:val="36"/>
          <w:highlight w:val="none"/>
        </w:rPr>
        <w:t xml:space="preserve">：</w:t>
      </w:r>
      <w:r>
        <w:rPr>
          <w:rFonts w:hint="default" w:ascii="Times New Roman" w:hAnsi="Times New Roman" w:cs="Times New Roman"/>
          <w:b/>
          <w:bCs/>
          <w:sz w:val="36"/>
          <w:szCs w:val="36"/>
          <w:highlight w:val="none"/>
          <w:u w:val="single"/>
        </w:rPr>
        <w:t xml:space="preserve">                              </w:t>
      </w:r>
      <w:r/>
    </w:p>
    <w:p>
      <w:pPr>
        <w:pStyle w:val="821"/>
        <w:ind w:left="0"/>
        <w:jc w:val="both"/>
        <w:spacing w:before="0" w:line="360" w:lineRule="auto"/>
        <w:rPr>
          <w:rFonts w:hint="default" w:ascii="Times New Roman" w:hAnsi="Times New Roman" w:cs="Times New Roman"/>
          <w:sz w:val="32"/>
          <w:szCs w:val="32"/>
          <w:highlight w:val="none"/>
        </w:rPr>
      </w:pPr>
      <w:r>
        <w:rPr>
          <w:rFonts w:hint="default" w:ascii="Times New Roman" w:hAnsi="Times New Roman" w:cs="Times New Roman"/>
          <w:b/>
          <w:bCs/>
          <w:spacing w:val="-3"/>
          <w:sz w:val="36"/>
          <w:szCs w:val="36"/>
          <w:highlight w:val="none"/>
        </w:rPr>
        <w:t xml:space="preserve">法定代表人或其委托代理人</w:t>
      </w:r>
      <w:r>
        <w:rPr>
          <w:rFonts w:hint="default" w:ascii="Times New Roman" w:hAnsi="Times New Roman" w:cs="Times New Roman"/>
          <w:sz w:val="24"/>
          <w:szCs w:val="24"/>
          <w:highlight w:val="none"/>
        </w:rPr>
        <w:t xml:space="preserve">(签字或盖章)</w:t>
      </w:r>
      <w:r>
        <w:rPr>
          <w:rFonts w:hint="default" w:ascii="Times New Roman" w:hAnsi="Times New Roman" w:cs="Times New Roman"/>
          <w:b/>
          <w:bCs/>
          <w:sz w:val="36"/>
          <w:szCs w:val="36"/>
          <w:highlight w:val="none"/>
        </w:rPr>
        <w:t xml:space="preserve">：</w:t>
      </w:r>
      <w:r>
        <w:rPr>
          <w:rFonts w:hint="default" w:ascii="Times New Roman" w:hAnsi="Times New Roman" w:cs="Times New Roman"/>
          <w:b/>
          <w:bCs/>
          <w:spacing w:val="101"/>
          <w:sz w:val="36"/>
          <w:szCs w:val="36"/>
          <w:highlight w:val="none"/>
          <w:u w:val="single"/>
        </w:rPr>
        <w:t xml:space="preserve">    </w:t>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both"/>
        <w:spacing w:before="0" w:line="360" w:lineRule="auto"/>
        <w:rPr>
          <w:rFonts w:hint="default" w:ascii="Times New Roman" w:hAnsi="Times New Roman" w:cs="Times New Roman"/>
          <w:sz w:val="21"/>
          <w:highlight w:val="none"/>
        </w:rPr>
      </w:pPr>
      <w:r>
        <w:rPr>
          <w:rFonts w:hint="default" w:ascii="Times New Roman" w:hAnsi="Times New Roman" w:cs="Times New Roman"/>
          <w:sz w:val="21"/>
          <w:highlight w:val="none"/>
        </w:rPr>
      </w:r>
      <w:r/>
    </w:p>
    <w:p>
      <w:pPr>
        <w:pStyle w:val="821"/>
        <w:ind w:left="0"/>
        <w:jc w:val="center"/>
        <w:spacing w:before="0" w:line="360" w:lineRule="auto"/>
        <w:rPr>
          <w:rFonts w:hint="default" w:ascii="Times New Roman" w:hAnsi="Times New Roman" w:cs="Times New Roman"/>
          <w:b/>
          <w:bCs/>
          <w:sz w:val="36"/>
          <w:szCs w:val="36"/>
          <w:highlight w:val="none"/>
        </w:rPr>
      </w:pPr>
      <w:r>
        <w:rPr>
          <w:rFonts w:hint="default" w:ascii="Times New Roman" w:hAnsi="Times New Roman" w:cs="Times New Roman"/>
          <w:b/>
          <w:bCs/>
          <w:sz w:val="36"/>
          <w:szCs w:val="36"/>
          <w:highlight w:val="none"/>
        </w:rPr>
        <w:t xml:space="preserve">日期：     年    月    日</w:t>
      </w:r>
      <w:r/>
    </w:p>
    <w:p>
      <w:pPr>
        <w:pStyle w:val="821"/>
        <w:ind w:left="0"/>
        <w:jc w:val="center"/>
        <w:spacing w:before="0" w:line="360" w:lineRule="auto"/>
        <w:rPr>
          <w:rFonts w:hint="default" w:ascii="Times New Roman" w:hAnsi="Times New Roman" w:cs="Times New Roman"/>
          <w:b/>
          <w:bCs/>
          <w:sz w:val="36"/>
          <w:szCs w:val="36"/>
          <w:highlight w:val="none"/>
        </w:rPr>
      </w:pPr>
      <w:r>
        <w:rPr>
          <w:rFonts w:hint="default" w:ascii="Times New Roman" w:hAnsi="Times New Roman" w:cs="Times New Roman"/>
          <w:b/>
          <w:bCs/>
          <w:sz w:val="36"/>
          <w:szCs w:val="36"/>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1、投标承诺函</w:t>
      </w:r>
      <w:r/>
    </w:p>
    <w:p>
      <w:pPr>
        <w:jc w:val="cente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投标承诺函</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苏州一投建设发展有限公司</w:t>
      </w:r>
      <w:r>
        <w:rPr>
          <w:rFonts w:hint="default" w:ascii="Times New Roman" w:hAnsi="Times New Roman" w:cs="Times New Roman"/>
          <w:sz w:val="24"/>
          <w:szCs w:val="24"/>
          <w:highlight w:val="none"/>
        </w:rPr>
        <w:t xml:space="preserve">：</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我们收到贵单位</w:t>
      </w:r>
      <w:r>
        <w:rPr>
          <w:rFonts w:hint="default" w:ascii="Times New Roman" w:hAnsi="Times New Roman" w:cs="Times New Roman"/>
          <w:sz w:val="24"/>
          <w:szCs w:val="24"/>
          <w:highlight w:val="none"/>
          <w:u w:val="single"/>
        </w:rPr>
        <w:t xml:space="preserve">   （项目名称）   </w:t>
      </w:r>
      <w:r>
        <w:rPr>
          <w:rFonts w:hint="default" w:ascii="Times New Roman" w:hAnsi="Times New Roman" w:cs="Times New Roman"/>
          <w:sz w:val="24"/>
          <w:szCs w:val="24"/>
          <w:highlight w:val="none"/>
        </w:rPr>
        <w:t xml:space="preserve">招标文件（项目编号：</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），经仔细阅读和研究，我们决定参加投标。</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我们愿意按照招标文件的一切要求，提供完成该项目的全部内容，我们的投标报价包括但不限于服务期内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2、如果我们的投标书被接受，我们将严格履行招标文件中规定的每一项要求，按期、按质、按量履行合同的义务。</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3、我们已详细审查全部招标文件，包括补充文件(更正公告)(如有)。我们完全理解并同意放弃对这方面有不明及误解的权力。</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4、我们同意按招标文件中的规定，本投标书的有效期限为投标截止日起90天。</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5、我们愿意提供采购人或采购代理机构在招标文件中要求的所有资料。</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6、我们声明：我们在参加本次政府采购活动前3年内在经营活动中没有重大违法记录。</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7、我们愿意遵守招标公告及招标文件中所列的收费标准。</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8、我们承诺该项投标在开标后的全过程中保持有效，不作任何更改和变动。</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9、如果我们中标，我们愿意按招标文件的规定支付代理服务费；</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10、我们承诺我公司符合招标文件投标人须知中“合格投标人的资格条件”的要求，若与真实情况不符，本公司愿意承担由此而产生的一切后果。</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11、我们承诺我公司中标后，合同部分或全部不予转包。</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12、综合说明：</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（1）伴随服务及配合措施；</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（2）要求甲方提供的配合；</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（3）对招标文件有不同意见的偏离说明；</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（4）其它说明。</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所有有关标书的函电，请按下列地址联系：</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单位：联系人：</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地址：邮政编码：</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联系电话：传真：</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电子邮箱：</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20"/>
        <w:jc w:val="right"/>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投标单位：（单位盖章）</w:t>
      </w:r>
      <w:r/>
    </w:p>
    <w:p>
      <w:pPr>
        <w:ind w:firstLine="420"/>
        <w:jc w:val="right"/>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法定代表人或代理人：（签字或盖章）</w:t>
      </w:r>
      <w:r/>
    </w:p>
    <w:p>
      <w:pPr>
        <w:ind w:firstLine="420"/>
        <w:jc w:val="right"/>
        <w:spacing w:line="360" w:lineRule="auto"/>
        <w:rPr>
          <w:rFonts w:hint="default" w:ascii="Times New Roman" w:hAnsi="Times New Roman" w:cs="Times New Roman"/>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sz w:val="24"/>
          <w:szCs w:val="24"/>
          <w:highlight w:val="none"/>
        </w:rPr>
        <w:t xml:space="preserve">日期：   年  月  日</w:t>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2、法定代表人授权委托书 （如有）</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spacing w:line="360" w:lineRule="auto"/>
        <w:rPr>
          <w:rFonts w:hint="default" w:ascii="Times New Roman" w:hAnsi="Times New Roman" w:cs="Times New Roman"/>
          <w:sz w:val="24"/>
          <w:szCs w:val="24"/>
          <w:highlight w:val="none"/>
        </w:rPr>
      </w:pPr>
      <w:r/>
      <w:bookmarkStart w:id="41" w:name="OLE_LINK22"/>
      <w:r>
        <w:rPr>
          <w:rFonts w:hint="default" w:ascii="Times New Roman" w:hAnsi="Times New Roman" w:cs="Times New Roman"/>
          <w:sz w:val="24"/>
          <w:szCs w:val="24"/>
          <w:highlight w:val="none"/>
        </w:rPr>
        <w:t xml:space="preserve">授权委托书</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本授权委托书声明：</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（姓名）系</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（投标单位名称）的法定代表人，现授权委托</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（单位名称）的</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（姓名）为我公司代理人，以本公司的名义参加</w:t>
      </w:r>
      <w:r>
        <w:rPr>
          <w:rFonts w:hint="default" w:ascii="Times New Roman" w:hAnsi="Times New Roman" w:cs="Times New Roman"/>
          <w:sz w:val="24"/>
          <w:szCs w:val="24"/>
          <w:highlight w:val="none"/>
          <w:lang w:eastAsia="zh-CN"/>
        </w:rPr>
        <w:t xml:space="preserve">苏州一投建设发展有限公司</w:t>
      </w:r>
      <w:r>
        <w:rPr>
          <w:rFonts w:hint="default" w:ascii="Times New Roman" w:hAnsi="Times New Roman" w:cs="Times New Roman"/>
          <w:sz w:val="24"/>
          <w:szCs w:val="24"/>
          <w:highlight w:val="none"/>
        </w:rPr>
        <w:t xml:space="preserve">组织实施的编号为</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号的招标活动。代理人在开标、评标、合同谈判过程中所签署的一切文件和处理与这有关的一切事务，我均予以承认。</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代理人无转委托权。特此委托！</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投标单位：（单位盖章）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法定代表人：（签字或盖章）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授权代理人：（签字或盖章）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投标日期：年   月   日</w:t>
      </w:r>
      <w:bookmarkEnd w:id="41"/>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20"/>
        <w:jc w:val="right"/>
        <w:spacing w:line="360" w:lineRule="auto"/>
        <w:rPr>
          <w:rFonts w:hint="default" w:ascii="Times New Roman" w:hAnsi="Times New Roman" w:cs="Times New Roman"/>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3、开标一览表</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开标一览表</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项目编号：</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项目名称：</w:t>
      </w:r>
      <w:r/>
    </w:p>
    <w:tbl>
      <w:tblPr>
        <w:tblStyle w:val="815"/>
        <w:tblW w:w="9340" w:type="dxa"/>
        <w:tblInd w:w="8" w:type="dxa"/>
        <w:tblLayout w:type="fixed"/>
        <w:tblCellMar>
          <w:left w:w="0" w:type="dxa"/>
          <w:top w:w="0" w:type="dxa"/>
          <w:right w:w="0" w:type="dxa"/>
          <w:bottom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58"/>
              <w:spacing w:before="0"/>
              <w:rPr>
                <w:rFonts w:hint="default" w:ascii="Times New Roman" w:hAnsi="Times New Roman" w:cs="Times New Roman"/>
                <w:highlight w:val="none"/>
              </w:rPr>
            </w:pPr>
            <w:r>
              <w:rPr>
                <w:rFonts w:hint="default" w:ascii="Times New Roman" w:hAnsi="Times New Roman" w:cs="Times New Roman"/>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58"/>
              <w:spacing w:before="0"/>
              <w:rPr>
                <w:rFonts w:hint="default" w:ascii="Times New Roman" w:hAnsi="Times New Roman" w:cs="Times New Roman"/>
                <w:highlight w:val="none"/>
              </w:rPr>
            </w:pPr>
            <w:r>
              <w:rPr>
                <w:rFonts w:hint="default" w:ascii="Times New Roman" w:hAnsi="Times New Roman" w:cs="Times New Roman"/>
                <w:highlight w:val="none"/>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058"/>
              <w:spacing w:before="0"/>
              <w:rPr>
                <w:rFonts w:hint="default" w:ascii="Times New Roman" w:hAnsi="Times New Roman" w:cs="Times New Roman"/>
                <w:highlight w:val="none"/>
              </w:rPr>
            </w:pPr>
            <w:r>
              <w:rPr>
                <w:rFonts w:hint="default" w:ascii="Times New Roman" w:hAnsi="Times New Roman" w:cs="Times New Roman"/>
                <w:highlight w:val="none"/>
              </w:rPr>
              <w:t xml:space="preserve">投标报价（元）</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58"/>
              <w:spacing w:before="0"/>
              <w:rPr>
                <w:rFonts w:hint="default" w:ascii="Times New Roman" w:hAnsi="Times New Roman" w:cs="Times New Roman"/>
                <w:highlight w:val="none"/>
              </w:rPr>
            </w:pPr>
            <w:r>
              <w:rPr>
                <w:rFonts w:hint="default" w:ascii="Times New Roman" w:hAnsi="Times New Roman" w:cs="Times New Roman"/>
                <w:highlight w:val="none"/>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58"/>
              <w:spacing w:before="0"/>
              <w:rPr>
                <w:rFonts w:hint="default" w:ascii="Times New Roman" w:hAnsi="Times New Roman" w:cs="Times New Roman"/>
                <w:highlight w:val="none"/>
              </w:rPr>
            </w:pPr>
            <w:r>
              <w:rPr>
                <w:rFonts w:hint="default" w:ascii="Times New Roman" w:hAnsi="Times New Roman" w:cs="Times New Roman"/>
                <w:highlight w:val="none"/>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58"/>
              <w:spacing w:before="0"/>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058"/>
              <w:spacing w:before="0"/>
              <w:rPr>
                <w:rFonts w:hint="default" w:ascii="Times New Roman" w:hAnsi="Times New Roman" w:cs="Times New Roman"/>
                <w:highlight w:val="none"/>
              </w:rPr>
            </w:pPr>
            <w:r>
              <w:rPr>
                <w:rFonts w:hint="default" w:ascii="Times New Roman" w:hAnsi="Times New Roman" w:cs="Times New Roman"/>
                <w:highlight w:val="none"/>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58"/>
              <w:spacing w:before="0"/>
              <w:rPr>
                <w:rFonts w:hint="default" w:ascii="Times New Roman" w:hAnsi="Times New Roman" w:cs="Times New Roman"/>
                <w:highlight w:val="none"/>
              </w:rPr>
            </w:pPr>
            <w:r>
              <w:rPr>
                <w:rFonts w:hint="default" w:ascii="Times New Roman" w:hAnsi="Times New Roman" w:cs="Times New Roman"/>
                <w:highlight w:val="none"/>
              </w:rPr>
            </w:r>
            <w:r/>
          </w:p>
        </w:tc>
      </w:tr>
    </w:tbl>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投标单位：（单位盖章）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法定代表人或代理人（签字或盖章）：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日期：     年     月     日</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20"/>
        <w:jc w:val="right"/>
        <w:spacing w:line="360" w:lineRule="auto"/>
        <w:rPr>
          <w:rFonts w:hint="default" w:ascii="Times New Roman" w:hAnsi="Times New Roman" w:cs="Times New Roman"/>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4、关于资格文件的声明函</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关于资格文件的声明函</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苏州一投建设发展有限公司</w:t>
      </w:r>
      <w:r>
        <w:rPr>
          <w:rFonts w:hint="default" w:ascii="Times New Roman" w:hAnsi="Times New Roman" w:cs="Times New Roman"/>
          <w:sz w:val="24"/>
          <w:szCs w:val="24"/>
          <w:highlight w:val="none"/>
        </w:rPr>
        <w:t xml:space="preserve">：</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本公司愿就由贵单位组织实施的编号为</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投标单位（单位盖章）：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法定代表人或授权代理人（签字或盖章）：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投标日期：     年  </w:t>
      </w:r>
      <w:r>
        <w:rPr>
          <w:rFonts w:hint="default" w:ascii="Times New Roman" w:hAnsi="Times New Roman" w:cs="Times New Roman"/>
          <w:sz w:val="24"/>
          <w:szCs w:val="24"/>
          <w:highlight w:val="none"/>
        </w:rPr>
        <w:tab/>
      </w:r>
      <w:r>
        <w:rPr>
          <w:rFonts w:hint="default" w:ascii="Times New Roman" w:hAnsi="Times New Roman" w:cs="Times New Roman"/>
          <w:sz w:val="24"/>
          <w:szCs w:val="24"/>
          <w:highlight w:val="none"/>
        </w:rPr>
        <w:t xml:space="preserve"> 月 </w:t>
      </w:r>
      <w:r>
        <w:rPr>
          <w:rFonts w:hint="default" w:ascii="Times New Roman" w:hAnsi="Times New Roman" w:cs="Times New Roman"/>
          <w:sz w:val="24"/>
          <w:szCs w:val="24"/>
          <w:highlight w:val="none"/>
        </w:rPr>
        <w:tab/>
      </w:r>
      <w:r>
        <w:rPr>
          <w:rFonts w:hint="default" w:ascii="Times New Roman" w:hAnsi="Times New Roman" w:cs="Times New Roman"/>
          <w:sz w:val="24"/>
          <w:szCs w:val="24"/>
          <w:highlight w:val="none"/>
        </w:rPr>
        <w:t xml:space="preserve">日</w:t>
      </w:r>
      <w:r/>
    </w:p>
    <w:p>
      <w:pPr>
        <w:ind w:firstLine="420"/>
        <w:jc w:val="right"/>
        <w:spacing w:line="360" w:lineRule="auto"/>
        <w:rPr>
          <w:rFonts w:hint="default" w:ascii="Times New Roman" w:hAnsi="Times New Roman" w:cs="Times New Roman"/>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5、参加政府采购活动前三年内，在经营活动中没有重大违法记录声明</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参加政府采购活动前三年内，在经营活动中没有重大违法记录声明</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致：</w:t>
      </w:r>
      <w:r>
        <w:rPr>
          <w:rFonts w:hint="default" w:ascii="Times New Roman" w:hAnsi="Times New Roman" w:cs="Times New Roman"/>
          <w:sz w:val="24"/>
          <w:szCs w:val="24"/>
          <w:highlight w:val="none"/>
          <w:lang w:eastAsia="zh-CN"/>
        </w:rPr>
        <w:t xml:space="preserve">苏州一投建设发展有限公司</w:t>
      </w:r>
      <w:r>
        <w:rPr>
          <w:rFonts w:hint="default" w:ascii="Times New Roman" w:hAnsi="Times New Roman" w:cs="Times New Roman"/>
          <w:sz w:val="24"/>
          <w:szCs w:val="24"/>
          <w:highlight w:val="none"/>
        </w:rPr>
        <w:t xml:space="preserve">：</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我单位</w:t>
      </w:r>
      <w:r>
        <w:rPr>
          <w:rFonts w:hint="default" w:ascii="Times New Roman" w:hAnsi="Times New Roman" w:cs="Times New Roman"/>
          <w:sz w:val="24"/>
          <w:szCs w:val="24"/>
          <w:highlight w:val="none"/>
          <w:u w:val="single"/>
        </w:rPr>
        <w:t xml:space="preserve">         （供应商名称）         </w:t>
      </w:r>
      <w:r>
        <w:rPr>
          <w:rFonts w:hint="default" w:ascii="Times New Roman" w:hAnsi="Times New Roman" w:cs="Times New Roman"/>
          <w:sz w:val="24"/>
          <w:szCs w:val="24"/>
          <w:highlight w:val="none"/>
        </w:rPr>
        <w:t xml:space="preserve">在参加政府采购活动前三年内，没有重大违法记录，特此声明。</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若采购代理机构在本项目采购过程中发现我单位近三年内在经营活动中有重大违法记录，我单位将无条件退出本项目的招标，并承担因此引起的一切后果。</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投标单位：（单位盖章）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法定代表人（负责人）或代理人（签字或盖章）：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投标日期：  年   月   日  </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6、投标单位情况表</w:t>
      </w:r>
      <w:r/>
    </w:p>
    <w:p>
      <w:pPr>
        <w:jc w:val="cente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投标单位情况表</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单位名称（盖章）：</w:t>
      </w:r>
      <w:r/>
    </w:p>
    <w:tbl>
      <w:tblPr>
        <w:tblStyle w:val="815"/>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202</w:t>
            </w:r>
            <w:r>
              <w:rPr>
                <w:rFonts w:hint="eastAsia" w:ascii="Times New Roman" w:cs="Times New Roman"/>
                <w:sz w:val="24"/>
                <w:szCs w:val="24"/>
                <w:highlight w:val="none"/>
                <w:lang w:val="en-US" w:eastAsia="zh-CN"/>
              </w:rPr>
              <w:t xml:space="preserve">4</w:t>
            </w:r>
            <w:r>
              <w:rPr>
                <w:rFonts w:hint="default" w:ascii="Times New Roman" w:hAnsi="Times New Roman" w:cs="Times New Roman"/>
                <w:sz w:val="24"/>
                <w:szCs w:val="24"/>
                <w:highlight w:val="none"/>
              </w:rPr>
              <w:t xml:space="preserve">年           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202</w:t>
            </w:r>
            <w:r>
              <w:rPr>
                <w:rFonts w:hint="eastAsia" w:ascii="Times New Roman" w:cs="Times New Roman"/>
                <w:sz w:val="24"/>
                <w:szCs w:val="24"/>
                <w:highlight w:val="none"/>
                <w:lang w:val="en-US" w:eastAsia="zh-CN"/>
              </w:rPr>
              <w:t xml:space="preserve">4</w:t>
            </w:r>
            <w:r>
              <w:rPr>
                <w:rFonts w:hint="default" w:ascii="Times New Roman" w:hAnsi="Times New Roman" w:cs="Times New Roman"/>
                <w:sz w:val="24"/>
                <w:szCs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自有面积         平方米</w:t>
            </w:r>
            <w:r/>
          </w:p>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承租面积         平方米</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bl>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br w:type="page" w:clear="all"/>
      </w:r>
      <w:r/>
    </w:p>
    <w:p>
      <w:pPr>
        <w:spacing w:line="360" w:lineRule="auto"/>
        <w:rPr>
          <w:rFonts w:hint="default" w:ascii="Times New Roman" w:hAnsi="Times New Roman" w:cs="Times New Roman"/>
          <w:sz w:val="24"/>
          <w:szCs w:val="24"/>
          <w:highlight w:val="none"/>
        </w:rPr>
      </w:pPr>
      <w:r/>
      <w:bookmarkStart w:id="42" w:name="_Hlk150944067"/>
      <w:r/>
      <w:bookmarkEnd w:id="42"/>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7、服务要求偏离表</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spacing w:line="360" w:lineRule="auto"/>
        <w:rPr>
          <w:rFonts w:hint="default" w:ascii="Times New Roman" w:hAnsi="Times New Roman" w:cs="Times New Roman"/>
          <w:sz w:val="24"/>
          <w:szCs w:val="24"/>
          <w:highlight w:val="none"/>
        </w:rPr>
      </w:pPr>
      <w:r/>
      <w:bookmarkStart w:id="43" w:name="OLE_LINK25"/>
      <w:r>
        <w:rPr>
          <w:rFonts w:hint="default" w:ascii="Times New Roman" w:hAnsi="Times New Roman" w:cs="Times New Roman"/>
          <w:sz w:val="24"/>
          <w:szCs w:val="24"/>
          <w:highlight w:val="none"/>
        </w:rPr>
        <w:t xml:space="preserve">服务要求偏离表</w:t>
      </w:r>
      <w:r/>
    </w:p>
    <w:tbl>
      <w:tblPr>
        <w:tblStyle w:val="815"/>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招标文件</w:t>
            </w:r>
            <w:r/>
          </w:p>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投标文件</w:t>
            </w:r>
            <w:r/>
          </w:p>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人员配备</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bl>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2.若事项较多，投标人可根据投标内容的实际情况另纸说明，不列出视为完全响应。</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投标单位：（公章）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法定代表人或代理人（签字或盖章）：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日期：   年   月   日</w:t>
      </w:r>
      <w:bookmarkEnd w:id="43"/>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8、商务偏离表</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spacing w:line="360" w:lineRule="auto"/>
        <w:rPr>
          <w:rFonts w:hint="default" w:ascii="Times New Roman" w:hAnsi="Times New Roman" w:cs="Times New Roman"/>
          <w:sz w:val="24"/>
          <w:szCs w:val="24"/>
          <w:highlight w:val="none"/>
        </w:rPr>
      </w:pPr>
      <w:r/>
      <w:bookmarkStart w:id="44" w:name="OLE_LINK23"/>
      <w:r/>
      <w:bookmarkStart w:id="45" w:name="OLE_LINK24"/>
      <w:r>
        <w:rPr>
          <w:rFonts w:hint="default" w:ascii="Times New Roman" w:hAnsi="Times New Roman" w:cs="Times New Roman"/>
          <w:sz w:val="24"/>
          <w:szCs w:val="24"/>
          <w:highlight w:val="none"/>
        </w:rPr>
        <w:t xml:space="preserve">商务条款偏离表</w:t>
      </w:r>
      <w:r/>
    </w:p>
    <w:tbl>
      <w:tblPr>
        <w:tblStyle w:val="815"/>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default" w:ascii="Times New Roman" w:hAnsi="Times New Roman" w:cs="Times New Roman"/>
                <w:sz w:val="21"/>
                <w:szCs w:val="21"/>
                <w:highlight w:val="none"/>
                <w:lang w:val="zh-CN"/>
              </w:rPr>
            </w:pPr>
            <w:r>
              <w:rPr>
                <w:rFonts w:hint="default" w:ascii="Times New Roman" w:hAnsi="Times New Roman" w:cs="Times New Roman"/>
                <w:sz w:val="21"/>
                <w:szCs w:val="21"/>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default" w:ascii="Times New Roman" w:hAnsi="Times New Roman" w:cs="Times New Roman"/>
                <w:sz w:val="21"/>
                <w:szCs w:val="21"/>
                <w:highlight w:val="none"/>
                <w:lang w:val="zh-CN"/>
              </w:rPr>
            </w:pPr>
            <w:r>
              <w:rPr>
                <w:rFonts w:hint="default" w:ascii="Times New Roman" w:hAnsi="Times New Roman" w:cs="Times New Roman"/>
                <w:sz w:val="21"/>
                <w:szCs w:val="21"/>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default" w:ascii="Times New Roman" w:hAnsi="Times New Roman" w:cs="Times New Roman"/>
                <w:sz w:val="21"/>
                <w:szCs w:val="21"/>
                <w:highlight w:val="none"/>
                <w:lang w:val="zh-CN"/>
              </w:rPr>
            </w:pPr>
            <w:r>
              <w:rPr>
                <w:rFonts w:hint="default" w:ascii="Times New Roman" w:hAnsi="Times New Roman" w:cs="Times New Roman"/>
                <w:sz w:val="21"/>
                <w:szCs w:val="21"/>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default" w:ascii="Times New Roman" w:hAnsi="Times New Roman" w:cs="Times New Roman"/>
                <w:sz w:val="24"/>
                <w:szCs w:val="24"/>
                <w:highlight w:val="none"/>
                <w:lang w:val="zh-CN"/>
              </w:rPr>
            </w:pPr>
            <w:r>
              <w:rPr>
                <w:rFonts w:hint="default" w:ascii="Times New Roman" w:hAnsi="Times New Roman" w:cs="Times New Roman"/>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default" w:ascii="Times New Roman" w:hAnsi="Times New Roman" w:cs="Times New Roman"/>
                <w:sz w:val="24"/>
                <w:szCs w:val="24"/>
                <w:highlight w:val="none"/>
                <w:lang w:val="zh-CN"/>
              </w:rPr>
            </w:pPr>
            <w:r>
              <w:rPr>
                <w:rFonts w:hint="default" w:ascii="Times New Roman" w:hAnsi="Times New Roman" w:cs="Times New Roman"/>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default" w:ascii="Times New Roman" w:hAnsi="Times New Roman" w:cs="Times New Roman"/>
                <w:sz w:val="24"/>
                <w:szCs w:val="24"/>
                <w:highlight w:val="none"/>
                <w:lang w:val="zh-CN"/>
              </w:rPr>
            </w:pPr>
            <w:r>
              <w:rPr>
                <w:rFonts w:hint="default" w:ascii="Times New Roman" w:hAnsi="Times New Roman" w:cs="Times New Roman"/>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default" w:ascii="Times New Roman" w:hAnsi="Times New Roman" w:cs="Times New Roman"/>
                <w:sz w:val="24"/>
                <w:szCs w:val="24"/>
                <w:highlight w:val="none"/>
                <w:lang w:val="zh-CN"/>
              </w:rPr>
            </w:pPr>
            <w:r>
              <w:rPr>
                <w:rFonts w:hint="default" w:ascii="Times New Roman" w:hAnsi="Times New Roman" w:cs="Times New Roman"/>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bl>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注：</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2.若事项较多，投标人可根据投标内容的实际情况另纸说明，不列出视为完全响应。</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投标单位：（公章）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法定代表人或代理人（签字或盖章）：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投标日期:  年  月   日</w:t>
      </w:r>
      <w:bookmarkEnd w:id="44"/>
      <w:r/>
      <w:bookmarkEnd w:id="45"/>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6"/>
        <w:ind w:right="960"/>
        <w:jc w:val="left"/>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r>
      <w:r/>
    </w:p>
    <w:p>
      <w:pPr>
        <w:pStyle w:val="826"/>
        <w:ind w:right="960"/>
        <w:jc w:val="left"/>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9、企业类似业绩一览表</w:t>
      </w:r>
      <w:r/>
    </w:p>
    <w:p>
      <w:pPr>
        <w:ind w:firstLine="480"/>
        <w:jc w:val="center"/>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r>
      <w:r/>
    </w:p>
    <w:p>
      <w:pPr>
        <w:jc w:val="center"/>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企业类似业绩一览表</w:t>
      </w:r>
      <w:r/>
    </w:p>
    <w:tbl>
      <w:tblPr>
        <w:tblStyle w:val="815"/>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序号</w:t>
            </w:r>
            <w:r/>
          </w:p>
        </w:tc>
        <w:tc>
          <w:tcPr>
            <w:tcW w:w="1530"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项目名称</w:t>
            </w:r>
            <w:r/>
          </w:p>
        </w:tc>
        <w:tc>
          <w:tcPr>
            <w:tcW w:w="1462"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签订时间</w:t>
            </w:r>
            <w:r/>
          </w:p>
        </w:tc>
        <w:tc>
          <w:tcPr>
            <w:tcW w:w="1485"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合同金额</w:t>
            </w:r>
            <w:r/>
          </w:p>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（人民币）</w:t>
            </w:r>
            <w:r/>
          </w:p>
        </w:tc>
        <w:tc>
          <w:tcPr>
            <w:tcW w:w="2164"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业主单位</w:t>
            </w:r>
            <w:r/>
          </w:p>
        </w:tc>
        <w:tc>
          <w:tcPr>
            <w:tcW w:w="1923"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备注</w:t>
            </w:r>
            <w:r/>
          </w:p>
        </w:tc>
      </w:tr>
      <w:tr>
        <w:trPr>
          <w:jc w:val="center"/>
        </w:trPr>
        <w:tc>
          <w:tcPr>
            <w:tcW w:w="688"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p>
        </w:tc>
        <w:tc>
          <w:tcPr>
            <w:tcW w:w="1530"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62" w:type="dxa"/>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85"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2164"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923"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w:t>
            </w:r>
            <w:r/>
          </w:p>
        </w:tc>
        <w:tc>
          <w:tcPr>
            <w:tcW w:w="1530"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62" w:type="dxa"/>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85"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2164"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923"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w:t>
            </w:r>
            <w:r/>
          </w:p>
        </w:tc>
        <w:tc>
          <w:tcPr>
            <w:tcW w:w="1530"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62" w:type="dxa"/>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85"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2164"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923"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w:t>
            </w:r>
            <w:r/>
          </w:p>
        </w:tc>
        <w:tc>
          <w:tcPr>
            <w:tcW w:w="1530"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62" w:type="dxa"/>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85"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2164"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923"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w:t>
            </w:r>
            <w:r/>
          </w:p>
        </w:tc>
        <w:tc>
          <w:tcPr>
            <w:tcW w:w="1530"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62" w:type="dxa"/>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85"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2164"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923"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w:t>
            </w:r>
            <w:r/>
          </w:p>
        </w:tc>
        <w:tc>
          <w:tcPr>
            <w:tcW w:w="1530"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62" w:type="dxa"/>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85"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2164"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923"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530"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62" w:type="dxa"/>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85"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2164"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923"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530"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62" w:type="dxa"/>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485"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2164"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1923" w:type="dxa"/>
            <w:vAlign w:val="center"/>
            <w:textDirection w:val="lrTb"/>
            <w:noWrap w:val="false"/>
          </w:tcPr>
          <w:p>
            <w:pPr>
              <w:pStyle w:val="1104"/>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r>
    </w:tbl>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附：1.根据招标文件及评分标书填写，并附相关证明文件；</w:t>
      </w:r>
      <w:r/>
    </w:p>
    <w:p>
      <w:pPr>
        <w:numPr>
          <w:ilvl w:val="0"/>
          <w:numId w:val="9"/>
        </w:numPr>
        <w:ind w:left="420" w:firstLine="420"/>
        <w:jc w:val="both"/>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表格不够填写可添加。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3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投标单位（单位盖章）： </w:t>
      </w:r>
      <w:r/>
    </w:p>
    <w:p>
      <w:pPr>
        <w:ind w:firstLine="43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法定代表人或代理人（签字或盖章）：</w:t>
      </w:r>
      <w:r/>
    </w:p>
    <w:p>
      <w:pPr>
        <w:ind w:firstLine="43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日期：     年   月    日</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10、拟投入本项目的专业技术（服务）人员情况一览表</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spacing w:line="360"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拟投入本项目的专业技术（服务）人员情况一览表</w:t>
      </w:r>
      <w:r/>
    </w:p>
    <w:p>
      <w:pPr>
        <w:spacing w:line="360" w:lineRule="auto"/>
        <w:rPr>
          <w:rFonts w:hint="default" w:ascii="Times New Roman" w:hAnsi="Times New Roman" w:cs="Times New Roman"/>
          <w:b/>
          <w:sz w:val="24"/>
          <w:szCs w:val="24"/>
          <w:highlight w:val="none"/>
          <w:lang w:val="zh-CN"/>
        </w:rPr>
      </w:pPr>
      <w:r>
        <w:rPr>
          <w:rFonts w:hint="default" w:ascii="Times New Roman" w:hAnsi="Times New Roman" w:cs="Times New Roman"/>
          <w:sz w:val="24"/>
          <w:szCs w:val="24"/>
          <w:highlight w:val="none"/>
          <w:lang w:val="zh-CN"/>
        </w:rPr>
        <w:t xml:space="preserve">采购项目名称：                                 采购项目编号：</w:t>
      </w:r>
      <w:r/>
    </w:p>
    <w:tbl>
      <w:tblPr>
        <w:tblStyle w:val="815"/>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序号</w:t>
            </w:r>
            <w:r/>
          </w:p>
        </w:tc>
        <w:tc>
          <w:tcPr>
            <w:tcW w:w="1828"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岗位</w:t>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姓名</w:t>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性别</w:t>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资格</w:t>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职称</w:t>
            </w:r>
            <w:r/>
          </w:p>
        </w:tc>
      </w:tr>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828"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828" w:type="dxa"/>
            <w:vAlign w:val="center"/>
            <w:textDirection w:val="lrTb"/>
            <w:noWrap w:val="false"/>
          </w:tcPr>
          <w:p>
            <w:pP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w:t>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828"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828"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828"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828"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828"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828"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828"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r>
        <w:trPr/>
        <w:tc>
          <w:tcPr>
            <w:tcW w:w="71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828"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89"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35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1967"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c>
          <w:tcPr>
            <w:tcW w:w="2251" w:type="dxa"/>
            <w:vAlign w:val="center"/>
            <w:textDirection w:val="lrTb"/>
            <w:noWrap w:val="false"/>
          </w:tcPr>
          <w:p>
            <w:pPr>
              <w:jc w:val="cente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tc>
      </w:tr>
    </w:tbl>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附：按照招标文件要求提供相应证明材料。</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投标单位（单位盖章）：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法定代表人或代理人（签字或盖章）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日期：    年    月    日</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11、拟投入本项目工具、物资情况表</w:t>
      </w:r>
      <w:r/>
    </w:p>
    <w:p>
      <w:pPr>
        <w:pStyle w:val="1094"/>
        <w:ind w:firstLine="0"/>
        <w:spacing w:line="360" w:lineRule="auto"/>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r>
      <w:r/>
    </w:p>
    <w:p>
      <w:pPr>
        <w:jc w:val="center"/>
        <w:spacing w:line="360" w:lineRule="auto"/>
        <w:rPr>
          <w:rFonts w:hint="default" w:ascii="Times New Roman" w:hAnsi="Times New Roman" w:cs="Times New Roman"/>
          <w:b/>
          <w:sz w:val="24"/>
          <w:szCs w:val="32"/>
          <w:highlight w:val="none"/>
          <w:lang w:val="zh-CN"/>
        </w:rPr>
      </w:pPr>
      <w:r/>
      <w:bookmarkStart w:id="46" w:name="OLE_LINK28"/>
      <w:r>
        <w:rPr>
          <w:rFonts w:hint="default" w:ascii="Times New Roman" w:hAnsi="Times New Roman" w:cs="Times New Roman"/>
          <w:b/>
          <w:sz w:val="24"/>
          <w:szCs w:val="32"/>
          <w:highlight w:val="none"/>
          <w:lang w:val="zh-CN"/>
        </w:rPr>
        <w:t xml:space="preserve">拟投入本项目工具、物资情况表</w:t>
      </w:r>
      <w:r/>
    </w:p>
    <w:p>
      <w:pPr>
        <w:spacing w:line="360" w:lineRule="auto"/>
        <w:rPr>
          <w:rFonts w:hint="default" w:ascii="Times New Roman" w:hAnsi="Times New Roman" w:cs="Times New Roman"/>
          <w:b/>
          <w:sz w:val="24"/>
          <w:szCs w:val="24"/>
          <w:highlight w:val="none"/>
          <w:lang w:val="zh-CN"/>
        </w:rPr>
      </w:pPr>
      <w:r>
        <w:rPr>
          <w:rFonts w:hint="default" w:ascii="Times New Roman" w:hAnsi="Times New Roman" w:cs="Times New Roman"/>
          <w:sz w:val="24"/>
          <w:szCs w:val="24"/>
          <w:highlight w:val="none"/>
          <w:lang w:val="zh-CN"/>
        </w:rPr>
        <w:t xml:space="preserve">采购项目名称：                                           采购项目编号：</w:t>
      </w:r>
      <w:r/>
    </w:p>
    <w:tbl>
      <w:tblPr>
        <w:tblStyle w:val="815"/>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559"/>
        <w:gridCol w:w="1559"/>
      </w:tblGrid>
      <w:tr>
        <w:trPr>
          <w:trHeight w:val="454"/>
        </w:trPr>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t xml:space="preserve">序号</w:t>
            </w:r>
            <w:r/>
          </w:p>
        </w:tc>
        <w:tc>
          <w:tcPr>
            <w:tcW w:w="2126"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t xml:space="preserve">名称</w:t>
            </w:r>
            <w:r/>
          </w:p>
        </w:tc>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t xml:space="preserve">品牌</w:t>
            </w:r>
            <w:r/>
          </w:p>
        </w:tc>
        <w:tc>
          <w:tcPr>
            <w:tcW w:w="1134"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t xml:space="preserve">规格型号</w:t>
            </w:r>
            <w:r/>
          </w:p>
        </w:tc>
        <w:tc>
          <w:tcPr>
            <w:tcW w:w="1843"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t xml:space="preserve">生产厂家/产地</w:t>
            </w:r>
            <w:r/>
          </w:p>
        </w:tc>
        <w:tc>
          <w:tcPr>
            <w:tcW w:w="155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t xml:space="preserve">数量</w:t>
            </w:r>
            <w:r/>
          </w:p>
        </w:tc>
        <w:tc>
          <w:tcPr>
            <w:tcW w:w="155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t xml:space="preserve">用途</w:t>
            </w:r>
            <w:r/>
          </w:p>
        </w:tc>
      </w:tr>
      <w:tr>
        <w:trPr>
          <w:trHeight w:val="454"/>
        </w:trPr>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2126"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134"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843"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r>
      <w:tr>
        <w:trPr>
          <w:trHeight w:val="454"/>
        </w:trPr>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2126"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134"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843"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r>
      <w:tr>
        <w:trPr>
          <w:trHeight w:val="454"/>
        </w:trPr>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2126"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134"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843"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r>
      <w:tr>
        <w:trPr>
          <w:trHeight w:val="454"/>
        </w:trPr>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2126"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134"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843"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r>
      <w:tr>
        <w:trPr>
          <w:trHeight w:val="454"/>
        </w:trPr>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2126"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134"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843"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r>
      <w:tr>
        <w:trPr>
          <w:trHeight w:val="454"/>
        </w:trPr>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2126"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134"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843"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r>
      <w:tr>
        <w:trPr>
          <w:trHeight w:val="454"/>
        </w:trPr>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2126"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70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134"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843"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vAlign w:val="center"/>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c>
          <w:tcPr>
            <w:tcW w:w="1559" w:type="dxa"/>
            <w:textDirection w:val="lrTb"/>
            <w:noWrap w:val="false"/>
          </w:tcPr>
          <w:p>
            <w:pPr>
              <w:jc w:val="center"/>
              <w:spacing w:line="360" w:lineRule="auto"/>
              <w:rPr>
                <w:rFonts w:hint="default" w:ascii="Times New Roman" w:hAnsi="Times New Roman" w:cs="Times New Roman"/>
                <w:bCs/>
                <w:szCs w:val="21"/>
                <w:highlight w:val="none"/>
                <w:lang w:val="zh-CN"/>
              </w:rPr>
            </w:pPr>
            <w:r>
              <w:rPr>
                <w:rFonts w:hint="default" w:ascii="Times New Roman" w:hAnsi="Times New Roman" w:cs="Times New Roman"/>
                <w:bCs/>
                <w:szCs w:val="21"/>
                <w:highlight w:val="none"/>
                <w:lang w:val="zh-CN"/>
              </w:rPr>
            </w:r>
            <w:r/>
          </w:p>
        </w:tc>
      </w:tr>
    </w:tbl>
    <w:p>
      <w:pPr>
        <w:spacing w:line="360" w:lineRule="auto"/>
        <w:rPr>
          <w:rFonts w:hint="default" w:ascii="Times New Roman" w:hAnsi="Times New Roman" w:cs="Times New Roman"/>
          <w:szCs w:val="21"/>
          <w:highlight w:val="none"/>
          <w:lang w:val="zh-CN"/>
        </w:rPr>
      </w:pPr>
      <w:r>
        <w:rPr>
          <w:rFonts w:hint="default" w:ascii="Times New Roman" w:hAnsi="Times New Roman" w:cs="Times New Roman"/>
          <w:sz w:val="24"/>
          <w:szCs w:val="24"/>
          <w:highlight w:val="none"/>
          <w:lang w:val="zh-CN"/>
        </w:rPr>
        <w:t xml:space="preserve">注：</w:t>
      </w:r>
      <w:r>
        <w:rPr>
          <w:rFonts w:hint="default" w:ascii="Times New Roman" w:hAnsi="Times New Roman" w:cs="Times New Roman"/>
          <w:szCs w:val="21"/>
          <w:highlight w:val="none"/>
          <w:lang w:val="zh-CN"/>
        </w:rPr>
        <w:t xml:space="preserve">1、本表格式仅供参考，投标单位可根据自身情况自行增减；</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投标单位（单位盖章）：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法定代表人或委托代理人（签字或盖章）：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日期：    年  月  日</w:t>
      </w:r>
      <w:bookmarkEnd w:id="46"/>
      <w:r/>
      <w:r/>
    </w:p>
    <w:p>
      <w:pPr>
        <w:rPr>
          <w:rFonts w:hint="default" w:ascii="Times New Roman" w:hAnsi="Times New Roman" w:cs="Times New Roman"/>
          <w:b/>
          <w:bCs/>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b/>
          <w:bCs/>
          <w:sz w:val="24"/>
          <w:szCs w:val="24"/>
          <w:highlight w:val="none"/>
        </w:rPr>
      </w:r>
      <w:r/>
    </w:p>
    <w:p>
      <w:pPr>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12、中小企业声明函</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jc w:val="cente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中小企业声明函</w:t>
      </w:r>
      <w:r>
        <w:rPr>
          <w:rFonts w:hint="default" w:ascii="Times New Roman" w:hAnsi="Times New Roman" w:cs="Times New Roman"/>
          <w:sz w:val="24"/>
          <w:szCs w:val="24"/>
          <w:highlight w:val="none"/>
        </w:rPr>
        <w:t xml:space="preserve">（服务）</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80"/>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本公司（联合体）郑重声明，根据《政府采购促进中小企业发展管理办法》（财库﹝2020﹞46 号）的规定，本公司（联合体）参加</w:t>
      </w:r>
      <w:r>
        <w:rPr>
          <w:rFonts w:hint="default" w:ascii="Times New Roman" w:hAnsi="Times New Roman" w:cs="Times New Roman"/>
          <w:sz w:val="24"/>
          <w:szCs w:val="24"/>
          <w:highlight w:val="none"/>
          <w:u w:val="single"/>
        </w:rPr>
        <w:t xml:space="preserve">（单位名称）</w:t>
      </w:r>
      <w:r>
        <w:rPr>
          <w:rFonts w:hint="default" w:ascii="Times New Roman" w:hAnsi="Times New Roman" w:cs="Times New Roman"/>
          <w:sz w:val="24"/>
          <w:szCs w:val="24"/>
          <w:highlight w:val="none"/>
        </w:rPr>
        <w:t xml:space="preserve">的</w:t>
      </w:r>
      <w:r>
        <w:rPr>
          <w:rFonts w:hint="default" w:ascii="Times New Roman" w:hAnsi="Times New Roman" w:cs="Times New Roman"/>
          <w:sz w:val="24"/>
          <w:szCs w:val="24"/>
          <w:highlight w:val="none"/>
          <w:u w:val="single"/>
        </w:rPr>
        <w:t xml:space="preserve">（项目名称）</w:t>
      </w:r>
      <w:r>
        <w:rPr>
          <w:rFonts w:hint="default" w:ascii="Times New Roman" w:hAnsi="Times New Roman" w:cs="Times New Roman"/>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rPr>
          <w:rFonts w:hint="default" w:ascii="Times New Roman" w:hAnsi="Times New Roman" w:cs="Times New Roman"/>
          <w:highlight w:val="none"/>
        </w:rPr>
        <w:t xml:space="preserve"> </w:t>
      </w:r>
      <w:r>
        <w:rPr>
          <w:rFonts w:hint="default" w:ascii="Times New Roman" w:hAnsi="Times New Roman" w:cs="Times New Roman"/>
          <w:sz w:val="24"/>
          <w:szCs w:val="24"/>
          <w:highlight w:val="none"/>
          <w:u w:val="single"/>
        </w:rPr>
        <w:t xml:space="preserve">太仓市实验高级中学安保服务</w:t>
      </w:r>
      <w:r>
        <w:rPr>
          <w:rFonts w:hint="default" w:ascii="Times New Roman" w:hAnsi="Times New Roman" w:cs="Times New Roman"/>
          <w:sz w:val="24"/>
          <w:szCs w:val="24"/>
          <w:highlight w:val="none"/>
        </w:rPr>
        <w:t xml:space="preserve">，属于</w:t>
      </w:r>
      <w:r>
        <w:rPr>
          <w:rFonts w:hint="default" w:ascii="Times New Roman" w:hAnsi="Times New Roman" w:cs="Times New Roman"/>
          <w:sz w:val="24"/>
          <w:szCs w:val="24"/>
          <w:highlight w:val="none"/>
          <w:u w:val="single"/>
        </w:rPr>
        <w:t xml:space="preserve">（十五）租赁和商务服务业</w:t>
      </w:r>
      <w:r>
        <w:rPr>
          <w:rFonts w:hint="default" w:ascii="Times New Roman" w:hAnsi="Times New Roman" w:cs="Times New Roman"/>
          <w:sz w:val="24"/>
          <w:szCs w:val="24"/>
          <w:highlight w:val="none"/>
        </w:rPr>
        <w:t xml:space="preserve">行业；承建（承接）企业为</w:t>
      </w:r>
      <w:r>
        <w:rPr>
          <w:rFonts w:hint="default" w:ascii="Times New Roman" w:hAnsi="Times New Roman" w:cs="Times New Roman"/>
          <w:sz w:val="24"/>
          <w:szCs w:val="24"/>
          <w:highlight w:val="none"/>
          <w:u w:val="single"/>
        </w:rPr>
        <w:t xml:space="preserve">（企业名称）</w:t>
      </w:r>
      <w:r>
        <w:rPr>
          <w:rFonts w:hint="default" w:ascii="Times New Roman" w:hAnsi="Times New Roman" w:cs="Times New Roman"/>
          <w:sz w:val="24"/>
          <w:szCs w:val="24"/>
          <w:highlight w:val="none"/>
        </w:rPr>
        <w:t xml:space="preserve">，从业人员</w:t>
      </w:r>
      <w:r>
        <w:rPr>
          <w:rFonts w:hint="default" w:ascii="Times New Roman" w:hAnsi="Times New Roman" w:cs="Times New Roman"/>
          <w:sz w:val="24"/>
          <w:szCs w:val="24"/>
          <w:highlight w:val="none"/>
          <w:u w:val="single"/>
        </w:rPr>
        <w:t xml:space="preserve"> （人数） </w:t>
      </w:r>
      <w:r>
        <w:rPr>
          <w:rFonts w:hint="default" w:ascii="Times New Roman" w:hAnsi="Times New Roman" w:cs="Times New Roman"/>
          <w:sz w:val="24"/>
          <w:szCs w:val="24"/>
          <w:highlight w:val="none"/>
        </w:rPr>
        <w:t xml:space="preserve">人，营业收入为</w:t>
      </w:r>
      <w:r>
        <w:rPr>
          <w:rFonts w:hint="default" w:ascii="Times New Roman" w:hAnsi="Times New Roman" w:cs="Times New Roman"/>
          <w:sz w:val="24"/>
          <w:szCs w:val="24"/>
          <w:highlight w:val="none"/>
          <w:u w:val="single"/>
        </w:rPr>
        <w:t xml:space="preserve"> （金额） </w:t>
      </w:r>
      <w:r>
        <w:rPr>
          <w:rFonts w:hint="default" w:ascii="Times New Roman" w:hAnsi="Times New Roman" w:cs="Times New Roman"/>
          <w:sz w:val="24"/>
          <w:szCs w:val="24"/>
          <w:highlight w:val="none"/>
        </w:rPr>
        <w:t xml:space="preserve">万元，资产总额为</w:t>
      </w:r>
      <w:r>
        <w:rPr>
          <w:rFonts w:hint="default" w:ascii="Times New Roman" w:hAnsi="Times New Roman" w:cs="Times New Roman"/>
          <w:sz w:val="24"/>
          <w:szCs w:val="24"/>
          <w:highlight w:val="none"/>
          <w:u w:val="single"/>
        </w:rPr>
        <w:t xml:space="preserve">（金额）</w:t>
      </w:r>
      <w:r>
        <w:rPr>
          <w:rFonts w:hint="default" w:ascii="Times New Roman" w:hAnsi="Times New Roman" w:cs="Times New Roman"/>
          <w:sz w:val="24"/>
          <w:szCs w:val="24"/>
          <w:highlight w:val="none"/>
        </w:rPr>
        <w:t xml:space="preserve">万元，属于</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b/>
          <w:sz w:val="24"/>
          <w:szCs w:val="24"/>
          <w:highlight w:val="none"/>
          <w:u w:val="single"/>
        </w:rPr>
        <w:t xml:space="preserve">中型企业/小型企业/微型企业，三选一</w:t>
      </w:r>
      <w:r>
        <w:rPr>
          <w:rFonts w:hint="default" w:ascii="Times New Roman" w:hAnsi="Times New Roman" w:cs="Times New Roman"/>
          <w:sz w:val="24"/>
          <w:szCs w:val="24"/>
          <w:highlight w:val="none"/>
          <w:u w:val="single"/>
        </w:rPr>
        <w:t xml:space="preserve">）</w:t>
      </w:r>
      <w:r>
        <w:rPr>
          <w:rFonts w:hint="default" w:ascii="Times New Roman" w:hAnsi="Times New Roman" w:cs="Times New Roman"/>
          <w:sz w:val="24"/>
          <w:szCs w:val="24"/>
          <w:highlight w:val="none"/>
        </w:rPr>
        <w:t xml:space="preserve">；</w:t>
      </w:r>
      <w:r/>
    </w:p>
    <w:p>
      <w:pPr>
        <w:ind w:firstLine="480"/>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以上企业，不属于大企业的分支机构，不存在控股股东为大企业的情形，也不存在与大企业的负责人为同一人的情形。</w:t>
      </w:r>
      <w:r/>
    </w:p>
    <w:p>
      <w:pPr>
        <w:ind w:firstLine="480"/>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本企业对上述声明内容的真实性负责。如有虚假，将依法承担相应责任。</w:t>
      </w:r>
      <w:r/>
    </w:p>
    <w:p>
      <w:pPr>
        <w:ind w:firstLine="480"/>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80"/>
        <w:jc w:val="right"/>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企业名称（盖章）：</w:t>
      </w:r>
      <w:r/>
    </w:p>
    <w:p>
      <w:pPr>
        <w:ind w:firstLine="480"/>
        <w:jc w:val="right"/>
        <w:spacing w:line="4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日期</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备注：</w:t>
      </w:r>
      <w:r>
        <w:rPr>
          <w:rFonts w:hint="default" w:ascii="Times New Roman" w:hAnsi="Times New Roman" w:cs="Times New Roman"/>
          <w:sz w:val="24"/>
          <w:szCs w:val="24"/>
          <w:highlight w:val="none"/>
        </w:rPr>
        <w:t xml:space="preserve">1、中小企业参加政府采购活动，应当出具《中小企业声明函》，否则不得享受相关中小企业扶持政策。</w:t>
      </w:r>
      <w:r/>
    </w:p>
    <w:p>
      <w:pPr>
        <w:pStyle w:val="842"/>
        <w:ind w:firstLine="440"/>
        <w:spacing w:line="360" w:lineRule="auto"/>
        <w:rPr>
          <w:rFonts w:hint="default" w:ascii="Times New Roman" w:hAnsi="Times New Roman" w:cs="Times New Roman"/>
          <w:szCs w:val="24"/>
          <w:highlight w:val="none"/>
        </w:rPr>
      </w:pPr>
      <w:r>
        <w:rPr>
          <w:rFonts w:hint="default" w:ascii="Times New Roman" w:hAnsi="Times New Roman" w:cs="Times New Roman"/>
          <w:szCs w:val="24"/>
          <w:highlight w:val="none"/>
        </w:rPr>
        <w:t xml:space="preserve">2、中标、中标供应商享受规定的中小企业扶持政策的，《中小企业声明函》应当随中标、成交结果同时公告，接受社会监督。</w:t>
      </w:r>
      <w:r/>
    </w:p>
    <w:p>
      <w:pPr>
        <w:pStyle w:val="842"/>
        <w:ind w:firstLine="440"/>
        <w:spacing w:line="360" w:lineRule="auto"/>
        <w:rPr>
          <w:rFonts w:hint="default" w:ascii="Times New Roman" w:hAnsi="Times New Roman" w:cs="Times New Roman"/>
          <w:szCs w:val="24"/>
          <w:highlight w:val="none"/>
        </w:rPr>
      </w:pPr>
      <w:r>
        <w:rPr>
          <w:rFonts w:hint="default" w:ascii="Times New Roman" w:hAnsi="Times New Roman" w:cs="Times New Roman"/>
          <w:szCs w:val="24"/>
          <w:highlight w:val="none"/>
        </w:rPr>
        <w:t xml:space="preserve">3、供应商提供声明函内容不实的，属于提供虚假材料谋取中标、 成交， 依照《中华人民共和国政府采购法》 等国家有关规定追究相应责任。</w:t>
      </w:r>
      <w:r/>
    </w:p>
    <w:p>
      <w:pPr>
        <w:pStyle w:val="842"/>
        <w:ind w:firstLine="440"/>
        <w:spacing w:line="360" w:lineRule="auto"/>
        <w:rPr>
          <w:rFonts w:hint="default" w:ascii="Times New Roman" w:hAnsi="Times New Roman" w:cs="Times New Roman"/>
          <w:szCs w:val="24"/>
          <w:highlight w:val="none"/>
        </w:rPr>
      </w:pPr>
      <w:r>
        <w:rPr>
          <w:rFonts w:hint="default" w:ascii="Times New Roman" w:hAnsi="Times New Roman" w:cs="Times New Roman"/>
          <w:szCs w:val="24"/>
          <w:highlight w:val="none"/>
        </w:rPr>
        <w:t xml:space="preserve">4、在服务采购项目中，服务由中小企业承接，即提供服务的人员为中小企业依照《中华人民共和国劳动合同法》订立劳动合同的从业人员。</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13、残疾人福利性单位声明函</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残疾人福利性单位声明函</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本单位对上述声明的真实性负责。如有虚假，将依法承担相应责任。</w:t>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单位名称（盖章）：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日 期：</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bookmarkEnd w:id="36"/>
      <w:r/>
      <w:bookmarkEnd w:id="37"/>
      <w:r/>
      <w:bookmarkEnd w:id="38"/>
      <w:r/>
      <w:bookmarkEnd w:id="39"/>
      <w:r/>
      <w:bookmarkEnd w:id="40"/>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21"/>
        <w:ind w:left="0"/>
        <w:jc w:val="both"/>
        <w:spacing w:before="0" w:line="360" w:lineRule="auto"/>
        <w:rPr>
          <w:rFonts w:hint="default" w:ascii="Times New Roman" w:hAnsi="Times New Roman" w:cs="Times New Roman"/>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sz w:val="21"/>
          <w:highlight w:val="none"/>
        </w:rPr>
      </w:r>
      <w:r/>
    </w:p>
    <w:p>
      <w:pPr>
        <w:jc w:val="center"/>
        <w:rPr>
          <w:rFonts w:hint="default" w:ascii="Times New Roman" w:hAnsi="Times New Roman" w:cs="Times New Roman"/>
          <w:b/>
          <w:bCs/>
          <w:sz w:val="32"/>
          <w:szCs w:val="32"/>
          <w:highlight w:val="none"/>
        </w:rPr>
        <w:outlineLvl w:val="0"/>
      </w:pPr>
      <w:r/>
      <w:bookmarkStart w:id="47" w:name="_Toc159507040"/>
      <w:r>
        <w:rPr>
          <w:rFonts w:hint="default" w:ascii="Times New Roman" w:hAnsi="Times New Roman" w:cs="Times New Roman"/>
          <w:b/>
          <w:bCs/>
          <w:sz w:val="32"/>
          <w:szCs w:val="32"/>
          <w:highlight w:val="none"/>
        </w:rPr>
        <w:t xml:space="preserve">第六章 合同主要条款</w:t>
      </w:r>
      <w:bookmarkEnd w:id="47"/>
      <w:r/>
      <w:r/>
    </w:p>
    <w:p>
      <w:pPr>
        <w:pStyle w:val="821"/>
        <w:spacing w:before="6"/>
        <w:rPr>
          <w:rFonts w:hint="default" w:ascii="Times New Roman" w:hAnsi="Times New Roman" w:cs="Times New Roman"/>
          <w:sz w:val="41"/>
          <w:highlight w:val="none"/>
        </w:rPr>
      </w:pPr>
      <w:r>
        <w:rPr>
          <w:rFonts w:hint="default" w:ascii="Times New Roman" w:hAnsi="Times New Roman" w:cs="Times New Roman"/>
          <w:sz w:val="41"/>
          <w:highlight w:val="none"/>
        </w:rPr>
      </w:r>
      <w:r/>
    </w:p>
    <w:p>
      <w:pPr>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合同编号：</w:t>
      </w:r>
      <w:r>
        <w:rPr>
          <w:rFonts w:hint="default" w:ascii="Times New Roman" w:hAnsi="Times New Roman" w:cs="Times New Roman"/>
          <w:sz w:val="24"/>
          <w:szCs w:val="24"/>
          <w:highlight w:val="none"/>
          <w:u w:val="single"/>
        </w:rPr>
        <w:t xml:space="preserve">           </w:t>
      </w:r>
      <w:r/>
    </w:p>
    <w:p>
      <w:pPr>
        <w:jc w:val="center"/>
        <w:spacing w:line="480" w:lineRule="auto"/>
        <w:rPr>
          <w:rFonts w:hint="default" w:ascii="Times New Roman" w:hAnsi="Times New Roman" w:cs="Times New Roman"/>
          <w:b/>
          <w:sz w:val="24"/>
          <w:szCs w:val="28"/>
          <w:highlight w:val="none"/>
        </w:rPr>
      </w:pPr>
      <w:r>
        <w:rPr>
          <w:rFonts w:hint="default" w:ascii="Times New Roman" w:hAnsi="Times New Roman" w:cs="Times New Roman"/>
          <w:b/>
          <w:sz w:val="24"/>
          <w:szCs w:val="28"/>
          <w:highlight w:val="none"/>
        </w:rPr>
      </w:r>
      <w:r/>
    </w:p>
    <w:p>
      <w:pPr>
        <w:jc w:val="center"/>
        <w:spacing w:line="480" w:lineRule="auto"/>
        <w:rPr>
          <w:rFonts w:hint="default" w:ascii="Times New Roman" w:hAnsi="Times New Roman" w:cs="Times New Roman"/>
          <w:b/>
          <w:sz w:val="24"/>
          <w:szCs w:val="28"/>
          <w:highlight w:val="none"/>
        </w:rPr>
      </w:pPr>
      <w:r>
        <w:rPr>
          <w:rFonts w:hint="default" w:ascii="Times New Roman" w:hAnsi="Times New Roman" w:cs="Times New Roman"/>
          <w:b/>
          <w:sz w:val="24"/>
          <w:szCs w:val="28"/>
          <w:highlight w:val="none"/>
        </w:rPr>
      </w:r>
      <w:r/>
    </w:p>
    <w:p>
      <w:pPr>
        <w:jc w:val="center"/>
        <w:spacing w:line="480" w:lineRule="auto"/>
        <w:rPr>
          <w:rFonts w:hint="default" w:ascii="Times New Roman" w:hAnsi="Times New Roman" w:cs="Times New Roman"/>
          <w:b/>
          <w:sz w:val="24"/>
          <w:szCs w:val="28"/>
          <w:highlight w:val="none"/>
        </w:rPr>
      </w:pPr>
      <w:r>
        <w:rPr>
          <w:rFonts w:hint="default" w:ascii="Times New Roman" w:hAnsi="Times New Roman" w:cs="Times New Roman"/>
          <w:b/>
          <w:sz w:val="24"/>
          <w:szCs w:val="28"/>
          <w:highlight w:val="none"/>
        </w:rPr>
      </w:r>
      <w:r/>
    </w:p>
    <w:p>
      <w:pPr>
        <w:jc w:val="center"/>
        <w:spacing w:line="480" w:lineRule="auto"/>
        <w:rPr>
          <w:rFonts w:hint="default" w:ascii="Times New Roman" w:hAnsi="Times New Roman" w:cs="Times New Roman"/>
          <w:b/>
          <w:sz w:val="72"/>
          <w:szCs w:val="72"/>
          <w:highlight w:val="none"/>
        </w:rPr>
      </w:pPr>
      <w:r>
        <w:rPr>
          <w:rFonts w:hint="default" w:ascii="Times New Roman" w:hAnsi="Times New Roman" w:cs="Times New Roman"/>
          <w:b/>
          <w:sz w:val="72"/>
          <w:szCs w:val="72"/>
          <w:highlight w:val="none"/>
        </w:rPr>
        <w:t xml:space="preserve">政府采购合同</w:t>
      </w:r>
      <w:r/>
    </w:p>
    <w:p>
      <w:pPr>
        <w:jc w:val="center"/>
        <w:spacing w:line="480"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（服务类）</w:t>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before="120" w:line="22"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left="1430"/>
        <w:spacing w:before="120" w:line="360" w:lineRule="auto"/>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t xml:space="preserve">项目名称： </w:t>
      </w:r>
      <w:r/>
    </w:p>
    <w:p>
      <w:pPr>
        <w:ind w:left="1430"/>
        <w:spacing w:before="120" w:line="360" w:lineRule="auto"/>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ind w:left="1430"/>
        <w:spacing w:before="120" w:line="360" w:lineRule="auto"/>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ind w:left="1430"/>
        <w:spacing w:before="120" w:line="360" w:lineRule="auto"/>
        <w:rPr>
          <w:rFonts w:hint="default" w:ascii="Times New Roman" w:hAnsi="Times New Roman" w:cs="Times New Roman"/>
          <w:sz w:val="28"/>
          <w:szCs w:val="28"/>
          <w:highlight w:val="none"/>
          <w:u w:val="single"/>
        </w:rPr>
      </w:pPr>
      <w:r>
        <w:rPr>
          <w:rFonts w:hint="default" w:ascii="Times New Roman" w:hAnsi="Times New Roman" w:cs="Times New Roman"/>
          <w:sz w:val="28"/>
          <w:szCs w:val="28"/>
          <w:highlight w:val="none"/>
        </w:rPr>
        <w:t xml:space="preserve">甲方：</w:t>
      </w:r>
      <w:r>
        <w:rPr>
          <w:rFonts w:hint="default" w:ascii="Times New Roman" w:hAnsi="Times New Roman" w:cs="Times New Roman"/>
          <w:sz w:val="28"/>
          <w:szCs w:val="28"/>
          <w:highlight w:val="none"/>
          <w:u w:val="single"/>
        </w:rPr>
        <w:t xml:space="preserve">太仓市实验高级中学</w:t>
      </w:r>
      <w:r/>
    </w:p>
    <w:p>
      <w:pPr>
        <w:ind w:left="1430"/>
        <w:spacing w:before="120" w:line="360" w:lineRule="auto"/>
        <w:rPr>
          <w:rFonts w:hint="default" w:ascii="Times New Roman" w:hAnsi="Times New Roman" w:cs="Times New Roman"/>
          <w:sz w:val="28"/>
          <w:szCs w:val="28"/>
          <w:highlight w:val="none"/>
          <w:u w:val="single"/>
        </w:rPr>
      </w:pPr>
      <w:r>
        <w:rPr>
          <w:rFonts w:hint="default" w:ascii="Times New Roman" w:hAnsi="Times New Roman" w:cs="Times New Roman"/>
          <w:sz w:val="28"/>
          <w:szCs w:val="28"/>
          <w:highlight w:val="none"/>
        </w:rPr>
        <w:t xml:space="preserve">乙方：</w:t>
      </w:r>
      <w:r>
        <w:rPr>
          <w:rFonts w:hint="default" w:ascii="Times New Roman" w:hAnsi="Times New Roman" w:cs="Times New Roman"/>
          <w:sz w:val="28"/>
          <w:szCs w:val="28"/>
          <w:highlight w:val="none"/>
          <w:u w:val="single"/>
        </w:rPr>
        <w:t xml:space="preserve">                       </w:t>
      </w:r>
      <w:r/>
    </w:p>
    <w:p>
      <w:pPr>
        <w:ind w:left="1430"/>
        <w:spacing w:before="120" w:line="360" w:lineRule="auto"/>
        <w:rPr>
          <w:rFonts w:hint="default" w:ascii="Times New Roman" w:hAnsi="Times New Roman" w:cs="Times New Roman"/>
          <w:sz w:val="28"/>
          <w:szCs w:val="28"/>
          <w:highlight w:val="none"/>
          <w:u w:val="single"/>
        </w:rPr>
      </w:pPr>
      <w:r>
        <w:rPr>
          <w:rFonts w:hint="default" w:ascii="Times New Roman" w:hAnsi="Times New Roman" w:cs="Times New Roman"/>
          <w:sz w:val="28"/>
          <w:szCs w:val="28"/>
          <w:highlight w:val="none"/>
        </w:rPr>
        <w:t xml:space="preserve">签订地：</w:t>
      </w:r>
      <w:r>
        <w:rPr>
          <w:rFonts w:hint="default" w:ascii="Times New Roman" w:hAnsi="Times New Roman" w:cs="Times New Roman"/>
          <w:sz w:val="28"/>
          <w:szCs w:val="28"/>
          <w:highlight w:val="none"/>
          <w:u w:val="single"/>
        </w:rPr>
        <w:t xml:space="preserve">太仓市</w:t>
      </w:r>
      <w:r/>
    </w:p>
    <w:p>
      <w:pPr>
        <w:ind w:left="1430"/>
        <w:spacing w:before="120" w:line="360" w:lineRule="auto"/>
        <w:rPr>
          <w:rFonts w:hint="default" w:ascii="Times New Roman" w:hAnsi="Times New Roman" w:cs="Times New Roman"/>
          <w:sz w:val="28"/>
          <w:szCs w:val="28"/>
          <w:highlight w:val="none"/>
          <w:u w:val="single"/>
        </w:rPr>
      </w:pPr>
      <w:r>
        <w:rPr>
          <w:rFonts w:hint="default" w:ascii="Times New Roman" w:hAnsi="Times New Roman" w:cs="Times New Roman"/>
          <w:sz w:val="28"/>
          <w:szCs w:val="28"/>
          <w:highlight w:val="none"/>
        </w:rPr>
        <w:t xml:space="preserve">签订日期：</w:t>
      </w:r>
      <w:r>
        <w:rPr>
          <w:rFonts w:hint="eastAsia" w:ascii="Times New Roman" w:cs="Times New Roman"/>
          <w:sz w:val="28"/>
          <w:szCs w:val="28"/>
          <w:highlight w:val="none"/>
          <w:u w:val="single"/>
          <w:lang w:eastAsia="zh-CN"/>
        </w:rPr>
        <w:t xml:space="preserve">2026</w:t>
      </w:r>
      <w:r>
        <w:rPr>
          <w:rFonts w:hint="default" w:ascii="Times New Roman" w:hAnsi="Times New Roman" w:cs="Times New Roman"/>
          <w:sz w:val="28"/>
          <w:szCs w:val="28"/>
          <w:highlight w:val="none"/>
        </w:rPr>
        <w:t xml:space="preserve">年</w:t>
      </w:r>
      <w:r>
        <w:rPr>
          <w:rFonts w:hint="default" w:ascii="Times New Roman" w:hAnsi="Times New Roman" w:cs="Times New Roman"/>
          <w:sz w:val="28"/>
          <w:szCs w:val="28"/>
          <w:highlight w:val="none"/>
          <w:u w:val="single"/>
        </w:rPr>
        <w:t xml:space="preserve">       </w:t>
      </w:r>
      <w:r>
        <w:rPr>
          <w:rFonts w:hint="default" w:ascii="Times New Roman" w:hAnsi="Times New Roman" w:cs="Times New Roman"/>
          <w:sz w:val="28"/>
          <w:szCs w:val="28"/>
          <w:highlight w:val="none"/>
        </w:rPr>
        <w:t xml:space="preserve">月</w:t>
      </w:r>
      <w:r>
        <w:rPr>
          <w:rFonts w:hint="default" w:ascii="Times New Roman" w:hAnsi="Times New Roman" w:cs="Times New Roman"/>
          <w:sz w:val="28"/>
          <w:szCs w:val="28"/>
          <w:highlight w:val="none"/>
          <w:u w:val="single"/>
        </w:rPr>
        <w:t xml:space="preserve">       </w:t>
      </w:r>
      <w:r>
        <w:rPr>
          <w:rFonts w:hint="default" w:ascii="Times New Roman" w:hAnsi="Times New Roman" w:cs="Times New Roman"/>
          <w:sz w:val="28"/>
          <w:szCs w:val="28"/>
          <w:highlight w:val="none"/>
        </w:rPr>
        <w:t xml:space="preserve">日</w:t>
      </w:r>
      <w:r/>
    </w:p>
    <w:p>
      <w:pPr>
        <w:ind w:firstLine="480"/>
        <w:spacing w:line="440" w:lineRule="exact"/>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br w:type="page" w:clear="all"/>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rPr>
          <w:rFonts w:hint="default" w:ascii="Times New Roman" w:hAnsi="Times New Roman" w:cs="Times New Roman"/>
          <w:b/>
          <w:sz w:val="24"/>
          <w:szCs w:val="24"/>
          <w:highlight w:val="none"/>
        </w:rPr>
        <w:outlineLvl w:val="2"/>
      </w:pPr>
      <w:r>
        <w:rPr>
          <w:rFonts w:hint="default" w:ascii="Times New Roman" w:hAnsi="Times New Roman" w:cs="Times New Roman"/>
          <w:b/>
          <w:sz w:val="24"/>
          <w:szCs w:val="24"/>
          <w:highlight w:val="none"/>
        </w:rPr>
        <w:t xml:space="preserve">第一部分 合同书</w:t>
      </w:r>
      <w:r/>
    </w:p>
    <w:p>
      <w:pPr>
        <w:ind w:firstLine="425"/>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p>
      <w:pPr>
        <w:ind w:firstLine="425"/>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甲方：</w:t>
      </w:r>
      <w:r>
        <w:rPr>
          <w:rFonts w:hint="default" w:ascii="Times New Roman" w:hAnsi="Times New Roman" w:cs="Times New Roman"/>
          <w:sz w:val="24"/>
          <w:highlight w:val="none"/>
          <w:u w:val="single"/>
        </w:rPr>
        <w:t xml:space="preserve">             </w:t>
      </w:r>
      <w:r/>
    </w:p>
    <w:p>
      <w:pPr>
        <w:ind w:firstLine="425"/>
        <w:spacing w:line="360" w:lineRule="auto"/>
        <w:rPr>
          <w:rFonts w:hint="default" w:ascii="Times New Roman" w:hAnsi="Times New Roman" w:cs="Times New Roman"/>
          <w:sz w:val="24"/>
          <w:highlight w:val="none"/>
          <w:u w:val="single"/>
        </w:rPr>
      </w:pPr>
      <w:r>
        <w:rPr>
          <w:rFonts w:hint="default" w:ascii="Times New Roman" w:hAnsi="Times New Roman" w:cs="Times New Roman"/>
          <w:sz w:val="24"/>
          <w:highlight w:val="none"/>
        </w:rPr>
        <w:t xml:space="preserve">乙方：</w:t>
      </w:r>
      <w:r>
        <w:rPr>
          <w:rFonts w:hint="default" w:ascii="Times New Roman" w:hAnsi="Times New Roman" w:cs="Times New Roman"/>
          <w:sz w:val="24"/>
          <w:highlight w:val="none"/>
          <w:u w:val="single"/>
        </w:rPr>
        <w:t xml:space="preserve">             </w:t>
      </w:r>
      <w:r/>
    </w:p>
    <w:p>
      <w:pPr>
        <w:ind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甲、乙双方根据</w:t>
      </w:r>
      <w:r>
        <w:rPr>
          <w:rFonts w:hint="default" w:ascii="Times New Roman" w:hAnsi="Times New Roman" w:cs="Times New Roman"/>
          <w:sz w:val="24"/>
          <w:highlight w:val="none"/>
          <w:lang w:eastAsia="zh-CN"/>
        </w:rPr>
        <w:t xml:space="preserve">苏州一投建设发展有限公司</w:t>
      </w:r>
      <w:r>
        <w:rPr>
          <w:rFonts w:hint="default" w:ascii="Times New Roman" w:hAnsi="Times New Roman" w:cs="Times New Roman"/>
          <w:sz w:val="24"/>
          <w:highlight w:val="none"/>
        </w:rPr>
        <w:t xml:space="preserve">组织实施的</w:t>
      </w:r>
      <w:r>
        <w:rPr>
          <w:rFonts w:hint="default" w:ascii="Times New Roman" w:hAnsi="Times New Roman" w:cs="Times New Roman"/>
          <w:sz w:val="24"/>
          <w:highlight w:val="none"/>
          <w:u w:val="single"/>
        </w:rPr>
        <w:t xml:space="preserve">太仓市实验高级中学安保服务</w:t>
      </w:r>
      <w:r>
        <w:rPr>
          <w:rFonts w:hint="default" w:ascii="Times New Roman" w:hAnsi="Times New Roman" w:cs="Times New Roman"/>
          <w:sz w:val="24"/>
          <w:highlight w:val="none"/>
        </w:rPr>
        <w:t xml:space="preserve">项目（政府采购编号：</w:t>
      </w:r>
      <w:r>
        <w:rPr>
          <w:rFonts w:hint="eastAsia" w:ascii="Times New Roman" w:cs="Times New Roman"/>
          <w:sz w:val="24"/>
          <w:highlight w:val="none"/>
          <w:u w:val="single"/>
          <w:lang w:eastAsia="zh-CN"/>
        </w:rPr>
        <w:t xml:space="preserve">JSZC-320585-SUYT-G2026-0001</w:t>
      </w:r>
      <w:r>
        <w:rPr>
          <w:rFonts w:hint="default" w:ascii="Times New Roman" w:hAnsi="Times New Roman" w:cs="Times New Roman"/>
          <w:sz w:val="24"/>
          <w:highlight w:val="none"/>
        </w:rPr>
        <w:t xml:space="preserve">）公开招标的结果，就其相关事宜签署本合同。</w:t>
      </w:r>
      <w:r/>
    </w:p>
    <w:p>
      <w:pPr>
        <w:ind w:firstLine="482"/>
        <w:spacing w:line="440" w:lineRule="exact"/>
        <w:rPr>
          <w:rFonts w:hint="default" w:ascii="Times New Roman" w:hAnsi="Times New Roman" w:cs="Times New Roman"/>
          <w:b/>
          <w:sz w:val="24"/>
          <w:szCs w:val="24"/>
          <w:highlight w:val="none"/>
        </w:rPr>
      </w:pPr>
      <w:r/>
      <w:bookmarkStart w:id="48" w:name="_Toc28855"/>
      <w:r/>
      <w:bookmarkStart w:id="49" w:name="_Toc22967"/>
      <w:r/>
      <w:bookmarkStart w:id="50" w:name="_Toc20421"/>
      <w:r/>
      <w:bookmarkStart w:id="51" w:name="_Toc19273"/>
      <w:r/>
      <w:bookmarkStart w:id="52" w:name="_Toc15367"/>
      <w:r>
        <w:rPr>
          <w:rFonts w:hint="default" w:ascii="Times New Roman" w:hAnsi="Times New Roman" w:cs="Times New Roman"/>
          <w:b/>
          <w:sz w:val="24"/>
          <w:szCs w:val="24"/>
          <w:highlight w:val="none"/>
        </w:rPr>
        <w:t xml:space="preserve">1.1 合同组成部分</w:t>
      </w:r>
      <w:bookmarkEnd w:id="48"/>
      <w:r/>
      <w:bookmarkEnd w:id="49"/>
      <w:r/>
      <w:bookmarkEnd w:id="50"/>
      <w:r/>
      <w:bookmarkEnd w:id="51"/>
      <w:r/>
      <w:bookmarkEnd w:id="52"/>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1.1.1 本合同及其补充合同、变更协议；</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1.1.2 中标通知书；</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1.1.3 投标文件（含澄清或者说明文件）；</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1.1.4 招标文件（含澄清或者修改文件）；</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1.1.5 其他相关采购文件。</w:t>
      </w:r>
      <w:r/>
    </w:p>
    <w:p>
      <w:pPr>
        <w:ind w:firstLine="482"/>
        <w:spacing w:line="440" w:lineRule="exact"/>
        <w:rPr>
          <w:rFonts w:hint="default" w:ascii="Times New Roman" w:hAnsi="Times New Roman" w:cs="Times New Roman"/>
          <w:b/>
          <w:sz w:val="24"/>
          <w:szCs w:val="24"/>
          <w:highlight w:val="none"/>
        </w:rPr>
      </w:pPr>
      <w:r/>
      <w:bookmarkStart w:id="53" w:name="_Toc2918"/>
      <w:r/>
      <w:bookmarkStart w:id="54" w:name="_Toc22185"/>
      <w:r/>
      <w:bookmarkStart w:id="55" w:name="_Toc18585"/>
      <w:r/>
      <w:bookmarkStart w:id="56" w:name="_Toc6311"/>
      <w:r/>
      <w:bookmarkStart w:id="57" w:name="_Toc6773"/>
      <w:r>
        <w:rPr>
          <w:rFonts w:hint="default" w:ascii="Times New Roman" w:hAnsi="Times New Roman" w:cs="Times New Roman"/>
          <w:b/>
          <w:sz w:val="24"/>
          <w:szCs w:val="24"/>
          <w:highlight w:val="none"/>
        </w:rPr>
        <w:t xml:space="preserve">1.2 </w:t>
      </w:r>
      <w:bookmarkEnd w:id="53"/>
      <w:r/>
      <w:bookmarkEnd w:id="54"/>
      <w:r/>
      <w:bookmarkEnd w:id="55"/>
      <w:r/>
      <w:bookmarkEnd w:id="56"/>
      <w:r/>
      <w:bookmarkEnd w:id="57"/>
      <w:r>
        <w:rPr>
          <w:rFonts w:hint="default" w:ascii="Times New Roman" w:hAnsi="Times New Roman" w:cs="Times New Roman"/>
          <w:b/>
          <w:sz w:val="24"/>
          <w:szCs w:val="24"/>
          <w:highlight w:val="none"/>
        </w:rPr>
        <w:t xml:space="preserve">项目内容</w:t>
      </w:r>
      <w:r/>
    </w:p>
    <w:p>
      <w:pPr>
        <w:ind w:firstLine="480"/>
        <w:spacing w:line="440" w:lineRule="exact"/>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1.2.1 项目名称：</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1.2.2 服务内容：</w:t>
      </w:r>
      <w:r>
        <w:rPr>
          <w:rFonts w:hint="default" w:ascii="Times New Roman" w:hAnsi="Times New Roman" w:cs="Times New Roman"/>
          <w:sz w:val="24"/>
          <w:szCs w:val="24"/>
          <w:highlight w:val="none"/>
          <w:u w:val="single"/>
        </w:rPr>
        <w:t xml:space="preserve">主要负责校园日常秩序维护，安全保卫，校门口进出车辆及人员的管理、消防巡查、安全保卫的临时性工作及其他事宜。太仓市实验高级中学校区：门岗保安、宿舍保安</w:t>
      </w:r>
      <w:r>
        <w:rPr>
          <w:rFonts w:hint="default" w:ascii="Times New Roman" w:hAnsi="Times New Roman" w:cs="Times New Roman"/>
          <w:sz w:val="24"/>
          <w:szCs w:val="24"/>
          <w:highlight w:val="none"/>
        </w:rPr>
        <w:t xml:space="preserve">。</w:t>
      </w:r>
      <w:r/>
    </w:p>
    <w:p>
      <w:pPr>
        <w:ind w:firstLine="482"/>
        <w:spacing w:line="440" w:lineRule="exact"/>
        <w:rPr>
          <w:rFonts w:hint="default" w:ascii="Times New Roman" w:hAnsi="Times New Roman" w:cs="Times New Roman"/>
          <w:b/>
          <w:sz w:val="24"/>
          <w:szCs w:val="24"/>
          <w:highlight w:val="none"/>
        </w:rPr>
      </w:pPr>
      <w:r/>
      <w:bookmarkStart w:id="58" w:name="_Toc5635"/>
      <w:r/>
      <w:bookmarkStart w:id="59" w:name="_Toc21124"/>
      <w:r/>
      <w:bookmarkStart w:id="60" w:name="_Toc1386"/>
      <w:r/>
      <w:bookmarkStart w:id="61" w:name="_Toc4929"/>
      <w:r/>
      <w:bookmarkStart w:id="62" w:name="_Toc13918"/>
      <w:r>
        <w:rPr>
          <w:rFonts w:hint="default" w:ascii="Times New Roman" w:hAnsi="Times New Roman" w:cs="Times New Roman"/>
          <w:b/>
          <w:sz w:val="24"/>
          <w:szCs w:val="24"/>
          <w:highlight w:val="none"/>
        </w:rPr>
        <w:t xml:space="preserve">1.3 合同价款</w:t>
      </w:r>
      <w:bookmarkEnd w:id="58"/>
      <w:r/>
      <w:bookmarkEnd w:id="59"/>
      <w:r/>
      <w:bookmarkEnd w:id="60"/>
      <w:r/>
      <w:bookmarkEnd w:id="61"/>
      <w:r/>
      <w:bookmarkEnd w:id="62"/>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本合同总价为：￥</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元（大写：</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元人民币）。固定总价合同，合同总价包括但不限于服务期内完成该项工作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乙方必须严格按照国家法律法规相关规定，进行各项工作安排。</w:t>
      </w:r>
      <w:r/>
    </w:p>
    <w:p>
      <w:pPr>
        <w:ind w:firstLine="482"/>
        <w:spacing w:line="440" w:lineRule="exact"/>
        <w:rPr>
          <w:rFonts w:hint="default" w:ascii="Times New Roman" w:hAnsi="Times New Roman" w:cs="Times New Roman"/>
          <w:b/>
          <w:sz w:val="24"/>
          <w:szCs w:val="24"/>
          <w:highlight w:val="none"/>
        </w:rPr>
      </w:pPr>
      <w:r/>
      <w:bookmarkStart w:id="63" w:name="_Toc14993"/>
      <w:r/>
      <w:bookmarkStart w:id="64" w:name="_Toc3654"/>
      <w:r/>
      <w:bookmarkStart w:id="65" w:name="_Toc30506"/>
      <w:r/>
      <w:bookmarkStart w:id="66" w:name="_Toc26916"/>
      <w:r/>
      <w:bookmarkStart w:id="67" w:name="_Toc30158"/>
      <w:r>
        <w:rPr>
          <w:rFonts w:hint="default" w:ascii="Times New Roman" w:hAnsi="Times New Roman" w:cs="Times New Roman"/>
          <w:b/>
          <w:sz w:val="24"/>
          <w:szCs w:val="24"/>
          <w:highlight w:val="none"/>
        </w:rPr>
        <w:t xml:space="preserve">1.4 付款方式和发票开具方式</w:t>
      </w:r>
      <w:bookmarkEnd w:id="63"/>
      <w:r/>
      <w:bookmarkEnd w:id="64"/>
      <w:r/>
      <w:bookmarkEnd w:id="65"/>
      <w:r/>
      <w:bookmarkEnd w:id="66"/>
      <w:r/>
      <w:bookmarkEnd w:id="67"/>
      <w:r/>
      <w:r/>
    </w:p>
    <w:p>
      <w:pPr>
        <w:spacing w:line="440" w:lineRule="exact"/>
        <w:rPr>
          <w:rFonts w:hint="eastAsia" w:ascii="Times New Roman" w:cs="Times New Roman"/>
          <w:color w:val="ff0000"/>
          <w:sz w:val="24"/>
          <w:szCs w:val="24"/>
          <w:highlight w:val="none"/>
          <w:u w:val="single"/>
          <w:lang w:val="en-US" w:eastAsia="zh-CN"/>
        </w:rPr>
      </w:pPr>
      <w:r>
        <w:rPr>
          <w:rFonts w:hint="default" w:ascii="Times New Roman" w:hAnsi="Times New Roman" w:cs="Times New Roman"/>
          <w:sz w:val="24"/>
          <w:szCs w:val="24"/>
          <w:highlight w:val="none"/>
        </w:rPr>
        <w:t xml:space="preserve">1.4.1</w:t>
      </w:r>
      <w:r>
        <w:rPr>
          <w:rFonts w:hint="default" w:ascii="Times New Roman" w:hAnsi="Times New Roman" w:cs="Times New Roman"/>
          <w:color w:val="ff0000"/>
          <w:sz w:val="24"/>
          <w:szCs w:val="24"/>
          <w:highlight w:val="none"/>
        </w:rPr>
        <w:t xml:space="preserve">付款方式：</w:t>
      </w:r>
      <w:r>
        <w:rPr>
          <w:rFonts w:ascii="宋体" w:hAnsi="宋体" w:eastAsia="宋体" w:cs="宋体"/>
          <w:color w:val="ff0000"/>
          <w:sz w:val="24"/>
        </w:rPr>
        <w:t xml:space="preserve">签订合同后二十日内甲方向乙方支付10%合同款作为预付款。</w:t>
      </w:r>
      <w:r/>
    </w:p>
    <w:p>
      <w:pPr>
        <w:spacing w:line="440" w:lineRule="exact"/>
        <w:rPr>
          <w:rFonts w:hint="eastAsia" w:ascii="Times New Roman" w:hAnsi="Times New Roman" w:eastAsia="宋体" w:cs="Times New Roman"/>
          <w:color w:val="000000" w:themeColor="text1"/>
          <w:sz w:val="24"/>
          <w:szCs w:val="24"/>
          <w:highlight w:val="none"/>
          <w:u w:val="single"/>
        </w:rPr>
      </w:pPr>
      <w:r>
        <w:rPr>
          <w:rFonts w:hint="default" w:ascii="Times New Roman" w:hAnsi="Times New Roman" w:cs="Times New Roman"/>
          <w:color w:val="000000" w:themeColor="text1"/>
          <w:sz w:val="24"/>
          <w:szCs w:val="24"/>
          <w:highlight w:val="none"/>
        </w:rPr>
        <w:t xml:space="preserve">1.4.2</w:t>
      </w:r>
      <w:r>
        <w:rPr>
          <w:rFonts w:hint="default" w:ascii="Times New Roman" w:hAnsi="Times New Roman" w:cs="Times New Roman"/>
          <w:color w:val="000000" w:themeColor="text1"/>
          <w:sz w:val="24"/>
          <w:szCs w:val="24"/>
          <w:highlight w:val="none"/>
          <w:u w:val="single"/>
        </w:rPr>
        <w:t xml:space="preserve">每季度经甲方考核合格后，在收到乙方的保安服务发票后，以银行转账的方式支付安保服务费</w:t>
      </w:r>
      <w:r>
        <w:rPr>
          <w:rFonts w:ascii="宋体" w:hAnsi="宋体" w:eastAsia="宋体" w:cs="宋体"/>
          <w:b/>
          <w:color w:val="000000" w:themeColor="text1"/>
          <w:sz w:val="24"/>
        </w:rPr>
        <w:t xml:space="preserve">（首次支付需扣除预付款</w:t>
      </w:r>
      <w:r>
        <w:rPr>
          <w:rFonts w:hint="eastAsia" w:ascii="宋体" w:hAnsi="宋体" w:eastAsia="宋体" w:cs="宋体"/>
          <w:b/>
          <w:color w:val="000000" w:themeColor="text1"/>
          <w:sz w:val="24"/>
          <w:lang w:eastAsia="zh-CN"/>
        </w:rPr>
        <w:t xml:space="preserve">，</w:t>
      </w:r>
      <w:r>
        <w:rPr>
          <w:rFonts w:hint="eastAsia" w:ascii="宋体" w:hAnsi="宋体" w:eastAsia="宋体" w:cs="宋体"/>
          <w:b/>
          <w:color w:val="000000" w:themeColor="text1"/>
          <w:sz w:val="24"/>
          <w:lang w:eastAsia="zh-CN"/>
        </w:rPr>
        <w:t xml:space="preserve">乙方</w:t>
      </w:r>
      <w:r>
        <w:rPr>
          <w:rFonts w:hint="eastAsia" w:ascii="宋体" w:hAnsi="宋体" w:eastAsia="宋体" w:cs="宋体"/>
          <w:b/>
          <w:color w:val="000000" w:themeColor="text1"/>
          <w:sz w:val="24"/>
          <w:lang w:eastAsia="zh-CN"/>
        </w:rPr>
        <w:t xml:space="preserve">签约时</w:t>
      </w:r>
      <w:r>
        <w:rPr>
          <w:rFonts w:hint="eastAsia" w:ascii="宋体" w:hAnsi="宋体" w:eastAsia="宋体" w:cs="宋体"/>
          <w:b/>
          <w:color w:val="000000" w:themeColor="text1"/>
          <w:sz w:val="24"/>
          <w:lang w:eastAsia="zh-CN"/>
        </w:rPr>
        <w:t xml:space="preserve">可</w:t>
      </w:r>
      <w:r>
        <w:rPr>
          <w:rFonts w:hint="eastAsia" w:ascii="宋体" w:hAnsi="宋体" w:eastAsia="宋体" w:cs="宋体"/>
          <w:b/>
          <w:color w:val="000000" w:themeColor="text1"/>
          <w:sz w:val="24"/>
          <w:lang w:eastAsia="zh-CN"/>
        </w:rPr>
        <w:t xml:space="preserve">自行</w:t>
      </w:r>
      <w:r>
        <w:rPr>
          <w:rFonts w:hint="eastAsia" w:ascii="宋体" w:hAnsi="宋体" w:eastAsia="宋体" w:cs="宋体"/>
          <w:b/>
          <w:color w:val="000000" w:themeColor="text1"/>
          <w:sz w:val="24"/>
          <w:lang w:eastAsia="zh-CN"/>
        </w:rPr>
        <w:t xml:space="preserve">选择</w:t>
      </w:r>
      <w:r>
        <w:rPr>
          <w:rFonts w:hint="eastAsia" w:ascii="宋体" w:hAnsi="宋体" w:eastAsia="宋体" w:cs="宋体"/>
          <w:b/>
          <w:color w:val="000000" w:themeColor="text1"/>
          <w:sz w:val="24"/>
          <w:lang w:eastAsia="zh-CN"/>
        </w:rPr>
        <w:t xml:space="preserve">是否</w:t>
      </w:r>
      <w:r>
        <w:rPr>
          <w:rFonts w:hint="eastAsia" w:ascii="宋体" w:hAnsi="宋体" w:eastAsia="宋体" w:cs="宋体"/>
          <w:b/>
          <w:color w:val="000000" w:themeColor="text1"/>
          <w:sz w:val="24"/>
          <w:lang w:eastAsia="zh-CN"/>
        </w:rPr>
        <w:t xml:space="preserve">放弃</w:t>
      </w:r>
      <w:r>
        <w:rPr>
          <w:rFonts w:hint="eastAsia" w:ascii="宋体" w:hAnsi="宋体" w:eastAsia="宋体" w:cs="宋体"/>
          <w:b/>
          <w:color w:val="000000" w:themeColor="text1"/>
          <w:sz w:val="24"/>
          <w:lang w:eastAsia="zh-CN"/>
        </w:rPr>
        <w:t xml:space="preserve">预付款</w:t>
      </w:r>
      <w:r>
        <w:rPr>
          <w:rFonts w:hint="eastAsia" w:ascii="宋体" w:hAnsi="宋体" w:eastAsia="宋体" w:cs="宋体"/>
          <w:b/>
          <w:color w:val="000000" w:themeColor="text1"/>
          <w:sz w:val="24"/>
          <w:lang w:eastAsia="zh-CN"/>
        </w:rPr>
        <w:t xml:space="preserve">权益</w:t>
      </w:r>
      <w:r>
        <w:rPr>
          <w:rFonts w:hint="eastAsia" w:ascii="宋体" w:hAnsi="宋体" w:eastAsia="宋体" w:cs="宋体"/>
          <w:b/>
          <w:color w:val="000000" w:themeColor="text1"/>
          <w:sz w:val="24"/>
          <w:lang w:eastAsia="zh-CN"/>
        </w:rPr>
        <w:t xml:space="preserve">）。</w:t>
      </w:r>
      <w:r>
        <w:rPr>
          <w:color w:val="000000" w:themeColor="text1"/>
        </w:rPr>
      </w:r>
      <w:r/>
    </w:p>
    <w:p>
      <w:pPr>
        <w:ind w:firstLine="480"/>
        <w:spacing w:line="440" w:lineRule="exact"/>
        <w:rPr>
          <w:rFonts w:hint="default" w:ascii="Times New Roman" w:hAnsi="Times New Roman" w:cs="Times New Roman"/>
          <w:color w:val="000000" w:themeColor="text1"/>
          <w:sz w:val="24"/>
          <w:szCs w:val="24"/>
          <w:highlight w:val="none"/>
          <w:u w:val="single"/>
        </w:rPr>
      </w:pPr>
      <w:r>
        <w:rPr>
          <w:rFonts w:hint="default" w:ascii="Times New Roman" w:hAnsi="Times New Roman" w:cs="Times New Roman"/>
          <w:color w:val="000000" w:themeColor="text1"/>
          <w:sz w:val="24"/>
          <w:szCs w:val="24"/>
          <w:highlight w:val="none"/>
        </w:rPr>
        <w:t xml:space="preserve">1.4.</w:t>
      </w:r>
      <w:r>
        <w:rPr>
          <w:rFonts w:hint="eastAsia" w:ascii="Times New Roman" w:cs="Times New Roman"/>
          <w:color w:val="000000" w:themeColor="text1"/>
          <w:sz w:val="24"/>
          <w:szCs w:val="24"/>
          <w:highlight w:val="none"/>
          <w:lang w:val="en-US" w:eastAsia="zh-CN"/>
        </w:rPr>
        <w:t xml:space="preserve">3</w:t>
      </w:r>
      <w:r>
        <w:rPr>
          <w:rFonts w:hint="default" w:ascii="Times New Roman" w:hAnsi="Times New Roman" w:cs="Times New Roman"/>
          <w:color w:val="000000" w:themeColor="text1"/>
          <w:sz w:val="24"/>
          <w:szCs w:val="24"/>
          <w:highlight w:val="none"/>
        </w:rPr>
        <w:t xml:space="preserve">付款步骤：</w:t>
      </w:r>
      <w:r>
        <w:rPr>
          <w:rFonts w:hint="default" w:ascii="Times New Roman" w:hAnsi="Times New Roman" w:cs="Times New Roman"/>
          <w:color w:val="000000" w:themeColor="text1"/>
          <w:sz w:val="24"/>
          <w:szCs w:val="24"/>
          <w:highlight w:val="none"/>
          <w:u w:val="single"/>
        </w:rPr>
        <w:t xml:space="preserve">本合同每季度支付一次合同价款，支付金额=∑（月基本费+月考评费）。</w:t>
      </w:r>
      <w:r>
        <w:rPr>
          <w:color w:val="000000" w:themeColor="text1"/>
        </w:rPr>
      </w:r>
      <w:r/>
    </w:p>
    <w:p>
      <w:pPr>
        <w:ind w:firstLine="480"/>
        <w:spacing w:line="440" w:lineRule="exact"/>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 xml:space="preserve">1.4.</w:t>
      </w:r>
      <w:r>
        <w:rPr>
          <w:rFonts w:hint="eastAsia" w:ascii="Times New Roman" w:cs="Times New Roman"/>
          <w:color w:val="000000" w:themeColor="text1"/>
          <w:sz w:val="24"/>
          <w:szCs w:val="24"/>
          <w:highlight w:val="none"/>
          <w:lang w:val="en-US" w:eastAsia="zh-CN"/>
        </w:rPr>
        <w:t xml:space="preserve">4</w:t>
      </w:r>
      <w:r>
        <w:rPr>
          <w:rFonts w:hint="default" w:ascii="Times New Roman" w:hAnsi="Times New Roman" w:cs="Times New Roman"/>
          <w:color w:val="000000" w:themeColor="text1"/>
          <w:sz w:val="24"/>
          <w:szCs w:val="24"/>
          <w:highlight w:val="none"/>
        </w:rPr>
        <w:t xml:space="preserve">考核办法：</w:t>
      </w:r>
      <w:r>
        <w:rPr>
          <w:rFonts w:hint="default" w:ascii="Times New Roman" w:hAnsi="Times New Roman" w:cs="Times New Roman"/>
          <w:color w:val="000000" w:themeColor="text1"/>
          <w:sz w:val="24"/>
          <w:szCs w:val="24"/>
          <w:highlight w:val="none"/>
          <w:u w:val="single"/>
        </w:rPr>
        <w:t xml:space="preserve">每月服务费分为基本费90%和考评费10%，月考核得分95（含）分以上全款支付；月考核90（含）-95分支付考评费的80%；考核80（含）-90分，支付考评费的60%；考核70（含）-80分，支付考评费的40%；考核60（含）-70分，支付考评费的20%；不满60分的扣除全部考评费。</w:t>
      </w:r>
      <w:r>
        <w:rPr>
          <w:color w:val="000000" w:themeColor="text1"/>
        </w:rPr>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color w:val="000000" w:themeColor="text1"/>
          <w:sz w:val="24"/>
          <w:szCs w:val="24"/>
          <w:highlight w:val="none"/>
        </w:rPr>
        <w:t xml:space="preserve">1.4.</w:t>
      </w:r>
      <w:r>
        <w:rPr>
          <w:rFonts w:hint="eastAsia" w:ascii="Times New Roman" w:cs="Times New Roman"/>
          <w:color w:val="000000" w:themeColor="text1"/>
          <w:sz w:val="24"/>
          <w:szCs w:val="24"/>
          <w:highlight w:val="none"/>
          <w:lang w:val="en-US" w:eastAsia="zh-CN"/>
        </w:rPr>
        <w:t xml:space="preserve">5</w:t>
      </w:r>
      <w:r>
        <w:rPr>
          <w:rFonts w:hint="default" w:ascii="Times New Roman" w:hAnsi="Times New Roman" w:cs="Times New Roman"/>
          <w:color w:val="000000" w:themeColor="text1"/>
          <w:sz w:val="24"/>
          <w:szCs w:val="24"/>
          <w:highlight w:val="none"/>
        </w:rPr>
        <w:t xml:space="preserve">考核标准：</w:t>
      </w:r>
      <w:r>
        <w:rPr>
          <w:rFonts w:hint="default" w:ascii="Times New Roman" w:hAnsi="Times New Roman" w:cs="Times New Roman"/>
          <w:color w:val="000000" w:themeColor="text1"/>
          <w:sz w:val="24"/>
          <w:szCs w:val="24"/>
          <w:highlight w:val="none"/>
          <w:u w:val="single"/>
        </w:rPr>
        <w:t xml:space="preserve">见合同附件1</w:t>
      </w:r>
      <w:r>
        <w:rPr>
          <w:rFonts w:hint="default" w:ascii="Times New Roman" w:hAnsi="Times New Roman" w:cs="Times New Roman"/>
          <w:color w:val="000000" w:themeColor="text1"/>
          <w:sz w:val="24"/>
          <w:szCs w:val="24"/>
          <w:highlight w:val="none"/>
        </w:rPr>
        <w:t xml:space="preserve">。</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1.4.</w:t>
      </w:r>
      <w:r>
        <w:rPr>
          <w:rFonts w:hint="eastAsia" w:asci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 发票开具方式：</w:t>
      </w:r>
      <w:r>
        <w:rPr>
          <w:rFonts w:hint="default" w:ascii="Times New Roman" w:hAnsi="Times New Roman" w:cs="Times New Roman"/>
          <w:sz w:val="24"/>
          <w:szCs w:val="24"/>
          <w:highlight w:val="none"/>
          <w:u w:val="single"/>
        </w:rPr>
        <w:t xml:space="preserve">付款前，乙方出具税务正式发票，甲方应在收到发票等资料后二十日内以转账方式支付</w:t>
      </w:r>
      <w:r>
        <w:rPr>
          <w:rFonts w:hint="default" w:ascii="Times New Roman" w:hAnsi="Times New Roman" w:cs="Times New Roman"/>
          <w:sz w:val="24"/>
          <w:szCs w:val="24"/>
          <w:highlight w:val="none"/>
        </w:rPr>
        <w:t xml:space="preserve">。</w:t>
      </w:r>
      <w:r/>
    </w:p>
    <w:p>
      <w:pPr>
        <w:ind w:firstLine="482"/>
        <w:spacing w:line="440" w:lineRule="exact"/>
        <w:rPr>
          <w:rFonts w:hint="default" w:ascii="Times New Roman" w:hAnsi="Times New Roman" w:cs="Times New Roman"/>
          <w:b/>
          <w:sz w:val="24"/>
          <w:szCs w:val="24"/>
          <w:highlight w:val="none"/>
        </w:rPr>
      </w:pPr>
      <w:r/>
      <w:bookmarkStart w:id="68" w:name="_Toc31421"/>
      <w:r/>
      <w:bookmarkStart w:id="69" w:name="_Toc3625"/>
      <w:r/>
      <w:bookmarkStart w:id="70" w:name="_Toc8772"/>
      <w:r/>
      <w:bookmarkStart w:id="71" w:name="_Toc4760"/>
      <w:r/>
      <w:bookmarkStart w:id="72" w:name="_Toc11108"/>
      <w:r>
        <w:rPr>
          <w:rFonts w:hint="default" w:ascii="Times New Roman" w:hAnsi="Times New Roman" w:cs="Times New Roman"/>
          <w:b/>
          <w:sz w:val="24"/>
          <w:szCs w:val="24"/>
          <w:highlight w:val="none"/>
        </w:rPr>
        <w:t xml:space="preserve">1.5 履行期限、地点和方式</w:t>
      </w:r>
      <w:bookmarkEnd w:id="68"/>
      <w:r/>
      <w:bookmarkEnd w:id="69"/>
      <w:r/>
      <w:bookmarkEnd w:id="70"/>
      <w:r/>
      <w:bookmarkEnd w:id="71"/>
      <w:r/>
      <w:bookmarkEnd w:id="72"/>
      <w:r/>
      <w:r/>
    </w:p>
    <w:p>
      <w:pPr>
        <w:ind w:firstLine="480"/>
        <w:spacing w:line="440" w:lineRule="exact"/>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1.5.1 履行期限：</w:t>
      </w:r>
      <w:r>
        <w:rPr>
          <w:rFonts w:hint="default" w:ascii="Times New Roman" w:hAnsi="Times New Roman" w:cs="Times New Roman"/>
          <w:sz w:val="24"/>
          <w:szCs w:val="24"/>
          <w:highlight w:val="none"/>
          <w:u w:val="single"/>
        </w:rPr>
        <w:t xml:space="preserve">12个月</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1.5.2 履行地点：</w:t>
      </w:r>
      <w:r>
        <w:rPr>
          <w:rFonts w:hint="default" w:ascii="Times New Roman" w:hAnsi="Times New Roman" w:cs="Times New Roman"/>
          <w:sz w:val="24"/>
          <w:szCs w:val="24"/>
          <w:highlight w:val="none"/>
          <w:u w:val="single"/>
        </w:rPr>
        <w:t xml:space="preserve">甲方指定地点</w:t>
      </w:r>
      <w:r>
        <w:rPr>
          <w:rFonts w:hint="default" w:ascii="Times New Roman" w:hAnsi="Times New Roman" w:cs="Times New Roman"/>
          <w:sz w:val="24"/>
          <w:szCs w:val="24"/>
          <w:highlight w:val="none"/>
        </w:rPr>
        <w:t xml:space="preserve">；</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1.5.3 履行方式：</w:t>
      </w:r>
      <w:r>
        <w:rPr>
          <w:rFonts w:hint="default" w:ascii="Times New Roman" w:hAnsi="Times New Roman" w:cs="Times New Roman"/>
          <w:sz w:val="24"/>
          <w:szCs w:val="24"/>
          <w:highlight w:val="none"/>
          <w:u w:val="single"/>
        </w:rPr>
        <w:t xml:space="preserve">按照招标文件及合同约定提供服务</w:t>
      </w:r>
      <w:r>
        <w:rPr>
          <w:rFonts w:hint="default" w:ascii="Times New Roman" w:hAnsi="Times New Roman" w:cs="Times New Roman"/>
          <w:sz w:val="24"/>
          <w:szCs w:val="24"/>
          <w:highlight w:val="none"/>
        </w:rPr>
        <w:t xml:space="preserve">。</w:t>
      </w:r>
      <w:r/>
    </w:p>
    <w:p>
      <w:pPr>
        <w:ind w:firstLine="482"/>
        <w:spacing w:line="440" w:lineRule="exact"/>
        <w:rPr>
          <w:rFonts w:hint="default" w:ascii="Times New Roman" w:hAnsi="Times New Roman" w:cs="Times New Roman"/>
          <w:b/>
          <w:sz w:val="24"/>
          <w:szCs w:val="24"/>
          <w:highlight w:val="none"/>
        </w:rPr>
      </w:pPr>
      <w:r/>
      <w:bookmarkStart w:id="73" w:name="_Toc3079"/>
      <w:r/>
      <w:bookmarkStart w:id="74" w:name="_Toc24662"/>
      <w:r/>
      <w:bookmarkStart w:id="75" w:name="_Toc8586"/>
      <w:r/>
      <w:bookmarkStart w:id="76" w:name="_Toc5698"/>
      <w:r/>
      <w:bookmarkStart w:id="77" w:name="_Toc2375"/>
      <w:r>
        <w:rPr>
          <w:rFonts w:hint="default" w:ascii="Times New Roman" w:hAnsi="Times New Roman" w:cs="Times New Roman"/>
          <w:b/>
          <w:sz w:val="24"/>
          <w:szCs w:val="24"/>
          <w:highlight w:val="none"/>
        </w:rPr>
        <w:t xml:space="preserve">1.6 违约责任</w:t>
      </w:r>
      <w:bookmarkEnd w:id="73"/>
      <w:r/>
      <w:bookmarkEnd w:id="74"/>
      <w:r/>
      <w:bookmarkEnd w:id="75"/>
      <w:r/>
      <w:bookmarkEnd w:id="76"/>
      <w:r/>
      <w:bookmarkEnd w:id="77"/>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default" w:ascii="Times New Roman" w:hAnsi="Times New Roman" w:cs="Times New Roman"/>
          <w:sz w:val="24"/>
          <w:szCs w:val="24"/>
          <w:highlight w:val="none"/>
          <w:u w:val="single"/>
        </w:rPr>
        <w:t xml:space="preserve">0.5</w:t>
      </w:r>
      <w:r>
        <w:rPr>
          <w:rFonts w:hint="default" w:ascii="Times New Roman" w:hAnsi="Times New Roman" w:cs="Times New Roman"/>
          <w:sz w:val="24"/>
          <w:szCs w:val="24"/>
          <w:highlight w:val="none"/>
        </w:rPr>
        <w:t xml:space="preserve">%计算，最高限额为本合同总价的</w:t>
      </w:r>
      <w:r>
        <w:rPr>
          <w:rFonts w:hint="default" w:ascii="Times New Roman" w:hAnsi="Times New Roman" w:cs="Times New Roman"/>
          <w:sz w:val="24"/>
          <w:szCs w:val="24"/>
          <w:highlight w:val="none"/>
          <w:u w:val="single"/>
        </w:rPr>
        <w:t xml:space="preserve">5</w:t>
      </w:r>
      <w:r>
        <w:rPr>
          <w:rFonts w:hint="default" w:ascii="Times New Roman" w:hAnsi="Times New Roman" w:cs="Times New Roman"/>
          <w:sz w:val="24"/>
          <w:szCs w:val="24"/>
          <w:highlight w:val="none"/>
        </w:rPr>
        <w:t xml:space="preserve">%；迟延履行的违约金计算数额达到前述最高限额之日起，甲方有权在要求乙方支付违约金的同时，书面通知乙方解除本合同；</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1.6.2 除不可抗力外，如果甲方没有按照本合同约定的付款方式付款，那么乙方可要求甲方支付违约金，违约金按每迟延付款一日的应付而未付款的</w:t>
      </w:r>
      <w:r>
        <w:rPr>
          <w:rFonts w:hint="default" w:ascii="Times New Roman" w:hAnsi="Times New Roman" w:cs="Times New Roman"/>
          <w:sz w:val="24"/>
          <w:szCs w:val="24"/>
          <w:highlight w:val="none"/>
          <w:u w:val="single"/>
        </w:rPr>
        <w:t xml:space="preserve"> 0.02 </w:t>
      </w:r>
      <w:r>
        <w:rPr>
          <w:rFonts w:hint="default" w:ascii="Times New Roman" w:hAnsi="Times New Roman" w:cs="Times New Roman"/>
          <w:sz w:val="24"/>
          <w:szCs w:val="24"/>
          <w:highlight w:val="none"/>
        </w:rPr>
        <w:t xml:space="preserve">%计算，最高限额为本合同总价的</w:t>
      </w:r>
      <w:r>
        <w:rPr>
          <w:rFonts w:hint="default" w:ascii="Times New Roman" w:hAnsi="Times New Roman" w:cs="Times New Roman"/>
          <w:sz w:val="24"/>
          <w:szCs w:val="24"/>
          <w:highlight w:val="none"/>
          <w:u w:val="single"/>
        </w:rPr>
        <w:t xml:space="preserve"> 5 </w:t>
      </w:r>
      <w:r>
        <w:rPr>
          <w:rFonts w:hint="default" w:ascii="Times New Roman" w:hAnsi="Times New Roman" w:cs="Times New Roman"/>
          <w:sz w:val="24"/>
          <w:szCs w:val="24"/>
          <w:highlight w:val="none"/>
        </w:rPr>
        <w:t xml:space="preserve">%；迟延付款的违约金计算数额达到前述最高限额之日起，乙方有权在要求甲方支付违约金的同时，书面通知甲方解除本合同；</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40" w:lineRule="exact"/>
        <w:rPr>
          <w:rFonts w:hint="default" w:ascii="Times New Roman" w:hAnsi="Times New Roman" w:cs="Times New Roman"/>
          <w:b/>
          <w:sz w:val="24"/>
          <w:szCs w:val="24"/>
          <w:highlight w:val="none"/>
        </w:rPr>
      </w:pPr>
      <w:r/>
      <w:bookmarkStart w:id="78" w:name="_Toc30329"/>
      <w:r/>
      <w:bookmarkStart w:id="79" w:name="_Toc9497"/>
      <w:r/>
      <w:bookmarkStart w:id="80" w:name="_Toc18683"/>
      <w:r/>
      <w:bookmarkStart w:id="81" w:name="_Toc32454"/>
      <w:r/>
      <w:bookmarkStart w:id="82" w:name="_Toc26807"/>
      <w:r>
        <w:rPr>
          <w:rFonts w:hint="default" w:ascii="Times New Roman" w:hAnsi="Times New Roman" w:cs="Times New Roman"/>
          <w:b/>
          <w:sz w:val="24"/>
          <w:szCs w:val="24"/>
          <w:highlight w:val="none"/>
        </w:rPr>
        <w:t xml:space="preserve">1.7 合同争议的解决</w:t>
      </w:r>
      <w:bookmarkEnd w:id="78"/>
      <w:r/>
      <w:bookmarkEnd w:id="79"/>
      <w:r/>
      <w:bookmarkEnd w:id="80"/>
      <w:r/>
      <w:bookmarkEnd w:id="81"/>
      <w:r/>
      <w:bookmarkEnd w:id="82"/>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本合同履行过程中发生的任何争议，双方当事人均可通过和解或者调解解决；不愿和解、调解或者和解、调解不成的，可以选择下列第</w:t>
      </w:r>
      <w:r>
        <w:rPr>
          <w:rFonts w:hint="default" w:ascii="Times New Roman" w:hAnsi="Times New Roman" w:cs="Times New Roman"/>
          <w:sz w:val="24"/>
          <w:szCs w:val="24"/>
          <w:highlight w:val="none"/>
          <w:u w:val="single"/>
        </w:rPr>
        <w:t xml:space="preserve">  1.7.2  </w:t>
      </w:r>
      <w:r>
        <w:rPr>
          <w:rFonts w:hint="default" w:ascii="Times New Roman" w:hAnsi="Times New Roman" w:cs="Times New Roman"/>
          <w:sz w:val="24"/>
          <w:szCs w:val="24"/>
          <w:highlight w:val="none"/>
        </w:rPr>
        <w:t xml:space="preserve">种方式解决：</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1.7.1 将争议提交</w:t>
      </w:r>
      <w:r>
        <w:rPr>
          <w:rFonts w:hint="default" w:ascii="Times New Roman" w:hAnsi="Times New Roman" w:cs="Times New Roman"/>
          <w:sz w:val="24"/>
          <w:szCs w:val="24"/>
          <w:highlight w:val="none"/>
          <w:u w:val="single"/>
        </w:rPr>
        <w:t xml:space="preserve">      /        </w:t>
      </w:r>
      <w:r>
        <w:rPr>
          <w:rFonts w:hint="default" w:ascii="Times New Roman" w:hAnsi="Times New Roman" w:cs="Times New Roman"/>
          <w:sz w:val="24"/>
          <w:szCs w:val="24"/>
          <w:highlight w:val="none"/>
        </w:rPr>
        <w:t xml:space="preserve">仲裁委员会依申请仲裁时其现行有效的仲裁规则裁决；</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1.7.2 向</w:t>
      </w:r>
      <w:r>
        <w:rPr>
          <w:rFonts w:hint="default" w:ascii="Times New Roman" w:hAnsi="Times New Roman" w:cs="Times New Roman"/>
          <w:sz w:val="24"/>
          <w:szCs w:val="24"/>
          <w:highlight w:val="none"/>
          <w:u w:val="single"/>
        </w:rPr>
        <w:t xml:space="preserve">   甲方所在地    </w:t>
      </w:r>
      <w:r>
        <w:rPr>
          <w:rFonts w:hint="default" w:ascii="Times New Roman" w:hAnsi="Times New Roman" w:cs="Times New Roman"/>
          <w:sz w:val="24"/>
          <w:szCs w:val="24"/>
          <w:highlight w:val="none"/>
        </w:rPr>
        <w:t xml:space="preserve">人民法院起诉。</w:t>
      </w:r>
      <w:r/>
    </w:p>
    <w:p>
      <w:pPr>
        <w:ind w:firstLine="482"/>
        <w:spacing w:line="440" w:lineRule="exact"/>
        <w:rPr>
          <w:rFonts w:hint="default" w:ascii="Times New Roman" w:hAnsi="Times New Roman" w:cs="Times New Roman"/>
          <w:b/>
          <w:sz w:val="24"/>
          <w:szCs w:val="24"/>
          <w:highlight w:val="none"/>
        </w:rPr>
      </w:pPr>
      <w:r/>
      <w:bookmarkStart w:id="83" w:name="_Toc16417"/>
      <w:r/>
      <w:bookmarkStart w:id="84" w:name="_Toc12273"/>
      <w:r/>
      <w:bookmarkStart w:id="85" w:name="_Toc23784"/>
      <w:r/>
      <w:bookmarkStart w:id="86" w:name="_Toc15827"/>
      <w:r/>
      <w:bookmarkStart w:id="87" w:name="_Toc26227"/>
      <w:r>
        <w:rPr>
          <w:rFonts w:hint="default" w:ascii="Times New Roman" w:hAnsi="Times New Roman" w:cs="Times New Roman"/>
          <w:b/>
          <w:sz w:val="24"/>
          <w:szCs w:val="24"/>
          <w:highlight w:val="none"/>
        </w:rPr>
        <w:t xml:space="preserve">1.8 合同生效</w:t>
      </w:r>
      <w:bookmarkEnd w:id="83"/>
      <w:r/>
      <w:bookmarkEnd w:id="84"/>
      <w:r/>
      <w:bookmarkEnd w:id="85"/>
      <w:r/>
      <w:bookmarkEnd w:id="86"/>
      <w:r/>
      <w:bookmarkEnd w:id="87"/>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本合同自双方当事人盖章或者签字时生效。</w:t>
      </w:r>
      <w:r/>
    </w:p>
    <w:p>
      <w:pPr>
        <w:ind w:firstLine="482"/>
        <w:spacing w:line="44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1.9未尽事宜</w:t>
      </w:r>
      <w:r/>
    </w:p>
    <w:p>
      <w:pPr>
        <w:ind w:firstLine="482"/>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其他未尽事宜按照《中华人民共和国民法典》、《中华人民共和国政府采购法》执行。</w:t>
      </w:r>
      <w:r/>
    </w:p>
    <w:p>
      <w:pPr>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widowControl/>
        <w:rPr>
          <w:rFonts w:hint="default" w:ascii="Times New Roman" w:hAnsi="Times New Roman" w:cs="Times New Roman"/>
          <w:b/>
          <w:sz w:val="24"/>
          <w:szCs w:val="24"/>
          <w:highlight w:val="none"/>
        </w:rPr>
      </w:pPr>
      <w:r/>
      <w:bookmarkStart w:id="88" w:name="_Toc331685783"/>
      <w:r/>
      <w:r/>
    </w:p>
    <w:tbl>
      <w:tblPr>
        <w:tblStyle w:val="815"/>
        <w:tblW w:w="9039" w:type="dxa"/>
        <w:tblInd w:w="0" w:type="dxa"/>
        <w:tblLayout w:type="autofit"/>
        <w:tblCellMar>
          <w:left w:w="108" w:type="dxa"/>
          <w:top w:w="0" w:type="dxa"/>
          <w:right w:w="108" w:type="dxa"/>
          <w:bottom w:w="0" w:type="dxa"/>
        </w:tblCellMar>
        <w:tblLook w:val="04A0" w:firstRow="1" w:lastRow="0" w:firstColumn="1" w:lastColumn="0" w:noHBand="0" w:noVBand="1"/>
      </w:tblPr>
      <w:tblGrid>
        <w:gridCol w:w="4219"/>
        <w:gridCol w:w="4820"/>
      </w:tblGrid>
      <w:tr>
        <w:trPr>
          <w:trHeight w:val="408"/>
        </w:trPr>
        <w:tc>
          <w:tcPr>
            <w:tcW w:w="4219" w:type="dxa"/>
            <w:textDirection w:val="lrTb"/>
            <w:noWrap w:val="false"/>
          </w:tcPr>
          <w:p>
            <w:pPr>
              <w:rPr>
                <w:rFonts w:hint="default" w:ascii="Times New Roman" w:hAnsi="Times New Roman" w:cs="Times New Roman"/>
                <w:highlight w:val="none"/>
              </w:rPr>
            </w:pPr>
            <w:r>
              <w:rPr>
                <w:rFonts w:hint="default" w:ascii="Times New Roman" w:hAnsi="Times New Roman" w:cs="Times New Roman"/>
                <w:b/>
                <w:sz w:val="24"/>
                <w:szCs w:val="24"/>
                <w:highlight w:val="none"/>
                <w:lang w:val="zh-CN"/>
              </w:rPr>
              <w:t xml:space="preserve">甲方</w:t>
            </w:r>
            <w:r>
              <w:rPr>
                <w:rFonts w:hint="default" w:ascii="Times New Roman" w:hAnsi="Times New Roman" w:cs="Times New Roman"/>
                <w:sz w:val="24"/>
                <w:szCs w:val="24"/>
                <w:highlight w:val="none"/>
                <w:lang w:val="zh-CN"/>
              </w:rPr>
              <w:t xml:space="preserve">：</w:t>
            </w:r>
            <w:r>
              <w:rPr>
                <w:rFonts w:hint="default" w:ascii="Times New Roman" w:hAnsi="Times New Roman" w:cs="Times New Roman"/>
                <w:highlight w:val="none"/>
              </w:rPr>
              <w:t xml:space="preserve"> </w:t>
            </w:r>
            <w:r/>
          </w:p>
        </w:tc>
        <w:tc>
          <w:tcPr>
            <w:tcW w:w="4820" w:type="dxa"/>
            <w:textDirection w:val="lrTb"/>
            <w:noWrap w:val="false"/>
          </w:tcPr>
          <w:p>
            <w:pPr>
              <w:rPr>
                <w:rFonts w:hint="default" w:ascii="Times New Roman" w:hAnsi="Times New Roman" w:cs="Times New Roman"/>
                <w:highlight w:val="none"/>
              </w:rPr>
            </w:pPr>
            <w:r>
              <w:rPr>
                <w:rFonts w:hint="default" w:ascii="Times New Roman" w:hAnsi="Times New Roman" w:cs="Times New Roman"/>
                <w:b/>
                <w:sz w:val="24"/>
                <w:szCs w:val="24"/>
                <w:highlight w:val="none"/>
                <w:lang w:val="zh-CN"/>
              </w:rPr>
              <w:t xml:space="preserve">乙方</w:t>
            </w:r>
            <w:r>
              <w:rPr>
                <w:rFonts w:hint="default" w:ascii="Times New Roman" w:hAnsi="Times New Roman" w:cs="Times New Roman"/>
                <w:sz w:val="24"/>
                <w:szCs w:val="24"/>
                <w:highlight w:val="none"/>
                <w:lang w:val="zh-CN"/>
              </w:rPr>
              <w:t xml:space="preserve">：</w:t>
            </w:r>
            <w:r>
              <w:rPr>
                <w:rFonts w:hint="default" w:ascii="Times New Roman" w:hAnsi="Times New Roman" w:cs="Times New Roman"/>
                <w:highlight w:val="none"/>
              </w:rPr>
              <w:t xml:space="preserve"> </w:t>
            </w:r>
            <w:r/>
          </w:p>
        </w:tc>
      </w:tr>
      <w:tr>
        <w:trPr>
          <w:trHeight w:val="833"/>
        </w:trPr>
        <w:tc>
          <w:tcPr>
            <w:tcW w:w="4219" w:type="dxa"/>
            <w:textDirection w:val="lrTb"/>
            <w:noWrap w:val="false"/>
          </w:tcPr>
          <w:p>
            <w:pPr>
              <w:rPr>
                <w:rFonts w:hint="default" w:ascii="Times New Roman" w:hAnsi="Times New Roman" w:cs="Times New Roman"/>
                <w:bCs/>
                <w:sz w:val="24"/>
                <w:szCs w:val="24"/>
                <w:highlight w:val="none"/>
                <w:lang w:val="zh-CN"/>
              </w:rPr>
            </w:pPr>
            <w:r>
              <w:rPr>
                <w:rFonts w:hint="default" w:ascii="Times New Roman" w:hAnsi="Times New Roman" w:cs="Times New Roman"/>
                <w:bCs/>
                <w:sz w:val="24"/>
                <w:szCs w:val="24"/>
                <w:highlight w:val="none"/>
                <w:lang w:val="zh-CN"/>
              </w:rPr>
              <w:t xml:space="preserve">统一社会信用代码：</w:t>
            </w:r>
            <w:r/>
          </w:p>
        </w:tc>
        <w:tc>
          <w:tcPr>
            <w:tcW w:w="4820" w:type="dxa"/>
            <w:textDirection w:val="lrTb"/>
            <w:noWrap w:val="false"/>
          </w:tcPr>
          <w:p>
            <w:pPr>
              <w:rPr>
                <w:rFonts w:hint="default" w:ascii="Times New Roman" w:hAnsi="Times New Roman" w:cs="Times New Roman"/>
                <w:bCs/>
                <w:sz w:val="24"/>
                <w:szCs w:val="24"/>
                <w:highlight w:val="none"/>
                <w:lang w:val="zh-CN"/>
              </w:rPr>
            </w:pPr>
            <w:r>
              <w:rPr>
                <w:rFonts w:hint="default" w:ascii="Times New Roman" w:hAnsi="Times New Roman" w:cs="Times New Roman"/>
                <w:bCs/>
                <w:sz w:val="24"/>
                <w:szCs w:val="24"/>
                <w:highlight w:val="none"/>
                <w:lang w:val="zh-CN"/>
              </w:rPr>
              <w:t xml:space="preserve">统一社会信用代码或身份证号码：</w:t>
            </w:r>
            <w:r/>
          </w:p>
        </w:tc>
      </w:tr>
      <w:tr>
        <w:trPr>
          <w:trHeight w:val="846"/>
        </w:trPr>
        <w:tc>
          <w:tcPr>
            <w:tcW w:w="4219"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住所： </w:t>
            </w:r>
            <w:r/>
          </w:p>
        </w:tc>
        <w:tc>
          <w:tcPr>
            <w:tcW w:w="4820"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住所：</w:t>
            </w:r>
            <w:r/>
          </w:p>
        </w:tc>
      </w:tr>
      <w:tr>
        <w:trPr>
          <w:trHeight w:val="1105"/>
        </w:trPr>
        <w:tc>
          <w:tcPr>
            <w:tcW w:w="4219"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法定代表人或</w:t>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授权代表（签字）：</w:t>
            </w:r>
            <w:r/>
          </w:p>
        </w:tc>
        <w:tc>
          <w:tcPr>
            <w:tcW w:w="4820"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法定代表人</w:t>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或授权代表（签字）：</w:t>
            </w:r>
            <w:r/>
          </w:p>
        </w:tc>
      </w:tr>
      <w:tr>
        <w:trPr>
          <w:trHeight w:val="531"/>
        </w:trPr>
        <w:tc>
          <w:tcPr>
            <w:tcW w:w="4219"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联系人： </w:t>
            </w:r>
            <w:r/>
          </w:p>
        </w:tc>
        <w:tc>
          <w:tcPr>
            <w:tcW w:w="4820"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联系人： </w:t>
            </w:r>
            <w:r/>
          </w:p>
        </w:tc>
      </w:tr>
      <w:tr>
        <w:trPr>
          <w:trHeight w:val="1105"/>
        </w:trPr>
        <w:tc>
          <w:tcPr>
            <w:tcW w:w="4219"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约定送达地址： </w:t>
            </w:r>
            <w:r/>
          </w:p>
        </w:tc>
        <w:tc>
          <w:tcPr>
            <w:tcW w:w="4820"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约定送达地址： </w:t>
            </w:r>
            <w:r/>
          </w:p>
        </w:tc>
      </w:tr>
      <w:tr>
        <w:trPr>
          <w:trHeight w:val="552"/>
        </w:trPr>
        <w:tc>
          <w:tcPr>
            <w:tcW w:w="4219"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邮政编码：</w:t>
            </w:r>
            <w:r/>
          </w:p>
        </w:tc>
        <w:tc>
          <w:tcPr>
            <w:tcW w:w="4820"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邮政编码：</w:t>
            </w:r>
            <w:r/>
          </w:p>
        </w:tc>
      </w:tr>
      <w:tr>
        <w:trPr>
          <w:trHeight w:val="531"/>
        </w:trPr>
        <w:tc>
          <w:tcPr>
            <w:tcW w:w="4219"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电话：</w:t>
            </w:r>
            <w:r/>
          </w:p>
        </w:tc>
        <w:tc>
          <w:tcPr>
            <w:tcW w:w="4820"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电话：</w:t>
            </w:r>
            <w:r/>
          </w:p>
        </w:tc>
      </w:tr>
      <w:tr>
        <w:trPr>
          <w:trHeight w:val="552"/>
        </w:trPr>
        <w:tc>
          <w:tcPr>
            <w:tcW w:w="4219"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传真：</w:t>
            </w:r>
            <w:r/>
          </w:p>
        </w:tc>
        <w:tc>
          <w:tcPr>
            <w:tcW w:w="4820"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传真：</w:t>
            </w:r>
            <w:r/>
          </w:p>
        </w:tc>
      </w:tr>
      <w:tr>
        <w:trPr>
          <w:trHeight w:val="552"/>
        </w:trPr>
        <w:tc>
          <w:tcPr>
            <w:tcW w:w="4219"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电子邮箱：</w:t>
            </w:r>
            <w:r/>
          </w:p>
        </w:tc>
        <w:tc>
          <w:tcPr>
            <w:tcW w:w="4820"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电子邮箱：</w:t>
            </w:r>
            <w:r/>
          </w:p>
        </w:tc>
      </w:tr>
      <w:tr>
        <w:trPr>
          <w:trHeight w:val="552"/>
        </w:trPr>
        <w:tc>
          <w:tcPr>
            <w:tcW w:w="4219"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开户银行：</w:t>
            </w:r>
            <w:r/>
          </w:p>
        </w:tc>
        <w:tc>
          <w:tcPr>
            <w:tcW w:w="4820"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开户银行： </w:t>
            </w:r>
            <w:r/>
          </w:p>
        </w:tc>
      </w:tr>
      <w:tr>
        <w:trPr>
          <w:trHeight w:val="552"/>
        </w:trPr>
        <w:tc>
          <w:tcPr>
            <w:tcW w:w="4219"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开户账号：</w:t>
            </w:r>
            <w:r/>
          </w:p>
        </w:tc>
        <w:tc>
          <w:tcPr>
            <w:tcW w:w="4820" w:type="dxa"/>
            <w:textDirection w:val="lrTb"/>
            <w:noWrap w:val="false"/>
          </w:tcPr>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开户账号：</w:t>
            </w:r>
            <w:r/>
          </w:p>
        </w:tc>
      </w:tr>
    </w:tbl>
    <w:p>
      <w:pPr>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代理机构备案：</w:t>
      </w:r>
      <w:r/>
    </w:p>
    <w:p>
      <w:pPr>
        <w:ind w:firstLine="200"/>
        <w:jc w:val="center"/>
        <w:spacing w:line="440" w:lineRule="exact"/>
        <w:rPr>
          <w:rFonts w:hint="default" w:ascii="Times New Roman" w:hAnsi="Times New Roman" w:cs="Times New Roman"/>
          <w:b/>
          <w:sz w:val="24"/>
          <w:szCs w:val="24"/>
          <w:highlight w:val="none"/>
        </w:rPr>
        <w:sectPr>
          <w:headerReference w:type="default" r:id="rId10"/>
          <w:footerReference w:type="default" r:id="rId13"/>
          <w:footerReference w:type="first" r:id="rId14"/>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b/>
          <w:sz w:val="24"/>
          <w:szCs w:val="24"/>
          <w:highlight w:val="none"/>
        </w:rPr>
      </w:r>
      <w:r/>
    </w:p>
    <w:p>
      <w:pPr>
        <w:ind w:firstLine="198"/>
        <w:jc w:val="center"/>
        <w:spacing w:line="440" w:lineRule="exact"/>
        <w:rPr>
          <w:rFonts w:hint="default" w:ascii="Times New Roman" w:hAnsi="Times New Roman" w:cs="Times New Roman"/>
          <w:b/>
          <w:sz w:val="24"/>
          <w:szCs w:val="24"/>
          <w:highlight w:val="none"/>
        </w:rPr>
        <w:outlineLvl w:val="2"/>
      </w:pPr>
      <w:r>
        <w:rPr>
          <w:rFonts w:hint="default" w:ascii="Times New Roman" w:hAnsi="Times New Roman" w:cs="Times New Roman"/>
          <w:b/>
          <w:sz w:val="24"/>
          <w:szCs w:val="24"/>
          <w:highlight w:val="none"/>
        </w:rPr>
        <w:t xml:space="preserve">第二部分 合同一般条款</w:t>
      </w:r>
      <w:bookmarkEnd w:id="88"/>
      <w:r/>
      <w:r/>
    </w:p>
    <w:p>
      <w:pPr>
        <w:ind w:firstLine="482"/>
        <w:spacing w:line="440" w:lineRule="exact"/>
        <w:rPr>
          <w:rFonts w:hint="default" w:ascii="Times New Roman" w:hAnsi="Times New Roman" w:cs="Times New Roman"/>
          <w:b/>
          <w:sz w:val="24"/>
          <w:szCs w:val="24"/>
          <w:highlight w:val="none"/>
        </w:rPr>
      </w:pPr>
      <w:r/>
      <w:bookmarkStart w:id="89" w:name="_Ref467379205"/>
      <w:r/>
      <w:bookmarkStart w:id="90" w:name="_Toc31297"/>
      <w:r/>
      <w:bookmarkStart w:id="91" w:name="_Ref467379101"/>
      <w:r/>
      <w:bookmarkStart w:id="92" w:name="_Ref467378499"/>
      <w:r/>
      <w:bookmarkStart w:id="93" w:name="_Toc19680"/>
      <w:r/>
      <w:bookmarkStart w:id="94" w:name="_Ref467379195"/>
      <w:r/>
      <w:bookmarkStart w:id="95" w:name="_Ref467379094"/>
      <w:r/>
      <w:bookmarkStart w:id="96" w:name="_Toc25079"/>
      <w:r/>
      <w:bookmarkStart w:id="97" w:name="_Ref467379109"/>
      <w:r/>
      <w:bookmarkStart w:id="98" w:name="_Toc279701240"/>
      <w:r/>
      <w:bookmarkStart w:id="99" w:name="_Toc487900349"/>
      <w:r/>
      <w:bookmarkStart w:id="100" w:name="_Toc259093669"/>
      <w:r/>
      <w:bookmarkStart w:id="101" w:name="_Toc5228"/>
      <w:r/>
      <w:bookmarkStart w:id="102" w:name="_Toc14021"/>
      <w:r/>
      <w:bookmarkStart w:id="103" w:name="_Ref467379214"/>
      <w:r/>
      <w:bookmarkStart w:id="104" w:name="_Ref467378463"/>
      <w:r/>
      <w:bookmarkStart w:id="105" w:name="_Ref467378404"/>
      <w:r/>
      <w:bookmarkStart w:id="106" w:name="_Ref467379225"/>
      <w:r>
        <w:rPr>
          <w:rFonts w:hint="default" w:ascii="Times New Roman" w:hAnsi="Times New Roman" w:cs="Times New Roman"/>
          <w:b/>
          <w:sz w:val="24"/>
          <w:szCs w:val="24"/>
          <w:highlight w:val="none"/>
        </w:rPr>
        <w:t xml:space="preserve">2.1 定义</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本合同中的下列词语应按以下内容进行解释：</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2.1.1 “合同”系指采购人和中标供应商签订的载明双方当事人所达成的协议，并包括所有的附件、附录和构成合同的其他文件。</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2.1.2 “合同价”系指根据合同约定，中标供应商在完全履行合同义务后，采购人应支付给中标供应商的价格。</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440" w:lineRule="exact"/>
        <w:rPr>
          <w:rFonts w:hint="default" w:ascii="Times New Roman" w:hAnsi="Times New Roman" w:cs="Times New Roman"/>
          <w:sz w:val="24"/>
          <w:szCs w:val="24"/>
          <w:highlight w:val="none"/>
        </w:rPr>
      </w:pPr>
      <w:r/>
      <w:bookmarkStart w:id="107" w:name="_Ref467378840"/>
      <w:r>
        <w:rPr>
          <w:rFonts w:hint="default" w:ascii="Times New Roman" w:hAnsi="Times New Roman" w:cs="Times New Roman"/>
          <w:sz w:val="24"/>
          <w:szCs w:val="24"/>
          <w:highlight w:val="none"/>
        </w:rPr>
        <w:t xml:space="preserve">2.1.4 “甲方”系指与中标供应商签署合同的采购人</w:t>
      </w:r>
      <w:bookmarkEnd w:id="107"/>
      <w:r>
        <w:rPr>
          <w:rFonts w:hint="default" w:ascii="Times New Roman" w:hAnsi="Times New Roman" w:cs="Times New Roman"/>
          <w:sz w:val="24"/>
          <w:szCs w:val="24"/>
          <w:highlight w:val="none"/>
        </w:rPr>
        <w:t xml:space="preserve">；采购人委托采购代理机构代表其与乙方签订合同的，采购人的授权委托书作为合同附件。</w:t>
      </w:r>
      <w:r/>
    </w:p>
    <w:p>
      <w:pPr>
        <w:ind w:firstLine="480"/>
        <w:spacing w:line="440" w:lineRule="exact"/>
        <w:rPr>
          <w:rFonts w:hint="default" w:ascii="Times New Roman" w:hAnsi="Times New Roman" w:cs="Times New Roman"/>
          <w:sz w:val="24"/>
          <w:szCs w:val="24"/>
          <w:highlight w:val="none"/>
        </w:rPr>
      </w:pPr>
      <w:r/>
      <w:bookmarkStart w:id="108" w:name="_Ref467379400"/>
      <w:r>
        <w:rPr>
          <w:rFonts w:hint="default" w:ascii="Times New Roman" w:hAnsi="Times New Roman" w:cs="Times New Roman"/>
          <w:sz w:val="24"/>
          <w:szCs w:val="24"/>
          <w:highlight w:val="none"/>
        </w:rPr>
        <w:t xml:space="preserve">2.1.5 “乙方”系指根据合同约定提供服务的中标供应商</w:t>
      </w:r>
      <w:bookmarkEnd w:id="108"/>
      <w:r>
        <w:rPr>
          <w:rFonts w:hint="default" w:ascii="Times New Roman" w:hAnsi="Times New Roman" w:cs="Times New Roman"/>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440" w:lineRule="exact"/>
        <w:rPr>
          <w:rFonts w:hint="default" w:ascii="Times New Roman" w:hAnsi="Times New Roman" w:cs="Times New Roman"/>
          <w:sz w:val="24"/>
          <w:szCs w:val="24"/>
          <w:highlight w:val="none"/>
        </w:rPr>
      </w:pPr>
      <w:r/>
      <w:bookmarkStart w:id="109" w:name="_Ref467379436"/>
      <w:r>
        <w:rPr>
          <w:rFonts w:hint="default" w:ascii="Times New Roman" w:hAnsi="Times New Roman" w:cs="Times New Roman"/>
          <w:sz w:val="24"/>
          <w:szCs w:val="24"/>
          <w:highlight w:val="none"/>
        </w:rPr>
        <w:t xml:space="preserve">2.1.6 “现场”系指合同约定提供服务的地点。</w:t>
      </w:r>
      <w:bookmarkEnd w:id="109"/>
      <w:r/>
      <w:r/>
    </w:p>
    <w:p>
      <w:pPr>
        <w:ind w:firstLine="482"/>
        <w:spacing w:line="440" w:lineRule="exact"/>
        <w:rPr>
          <w:rFonts w:hint="default" w:ascii="Times New Roman" w:hAnsi="Times New Roman" w:cs="Times New Roman"/>
          <w:b/>
          <w:sz w:val="24"/>
          <w:szCs w:val="24"/>
          <w:highlight w:val="none"/>
        </w:rPr>
      </w:pPr>
      <w:r/>
      <w:bookmarkStart w:id="110" w:name="_Toc279701241"/>
      <w:r/>
      <w:bookmarkStart w:id="111" w:name="_Toc259093670"/>
      <w:r/>
      <w:bookmarkStart w:id="112" w:name="_Toc23289"/>
      <w:r/>
      <w:bookmarkStart w:id="113" w:name="_Toc487900350"/>
      <w:r/>
      <w:bookmarkStart w:id="114" w:name="_Toc31402"/>
      <w:r/>
      <w:bookmarkStart w:id="115" w:name="_Toc3769"/>
      <w:r/>
      <w:bookmarkStart w:id="116" w:name="_Toc19539"/>
      <w:r/>
      <w:bookmarkStart w:id="117" w:name="_Toc16752"/>
      <w:r>
        <w:rPr>
          <w:rFonts w:hint="default" w:ascii="Times New Roman" w:hAnsi="Times New Roman" w:cs="Times New Roman"/>
          <w:b/>
          <w:sz w:val="24"/>
          <w:szCs w:val="24"/>
          <w:highlight w:val="none"/>
        </w:rPr>
        <w:t xml:space="preserve">2.2 技术规范</w:t>
      </w:r>
      <w:bookmarkEnd w:id="110"/>
      <w:r/>
      <w:bookmarkEnd w:id="111"/>
      <w:r/>
      <w:bookmarkEnd w:id="112"/>
      <w:r/>
      <w:bookmarkEnd w:id="113"/>
      <w:r/>
      <w:bookmarkEnd w:id="114"/>
      <w:r/>
      <w:bookmarkEnd w:id="115"/>
      <w:r/>
      <w:bookmarkEnd w:id="116"/>
      <w:r/>
      <w:bookmarkEnd w:id="117"/>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440" w:lineRule="exact"/>
        <w:rPr>
          <w:rFonts w:hint="default" w:ascii="Times New Roman" w:hAnsi="Times New Roman" w:cs="Times New Roman"/>
          <w:b/>
          <w:sz w:val="24"/>
          <w:szCs w:val="24"/>
          <w:highlight w:val="none"/>
        </w:rPr>
      </w:pPr>
      <w:r/>
      <w:bookmarkStart w:id="118" w:name="_Toc259093671"/>
      <w:r/>
      <w:bookmarkStart w:id="119" w:name="_Toc4133"/>
      <w:r/>
      <w:bookmarkStart w:id="120" w:name="_Toc27945"/>
      <w:r/>
      <w:bookmarkStart w:id="121" w:name="_Toc9161"/>
      <w:r/>
      <w:bookmarkStart w:id="122" w:name="_Toc13673"/>
      <w:r/>
      <w:bookmarkStart w:id="123" w:name="_Toc279701242"/>
      <w:r/>
      <w:bookmarkStart w:id="124" w:name="_Toc12412"/>
      <w:r/>
      <w:bookmarkStart w:id="125" w:name="_Toc487900351"/>
      <w:r>
        <w:rPr>
          <w:rFonts w:hint="default" w:ascii="Times New Roman" w:hAnsi="Times New Roman" w:cs="Times New Roman"/>
          <w:b/>
          <w:sz w:val="24"/>
          <w:szCs w:val="24"/>
          <w:highlight w:val="none"/>
        </w:rPr>
        <w:t xml:space="preserve">2.3 知识产权</w:t>
      </w:r>
      <w:bookmarkEnd w:id="118"/>
      <w:r/>
      <w:bookmarkEnd w:id="119"/>
      <w:r/>
      <w:bookmarkEnd w:id="120"/>
      <w:r/>
      <w:bookmarkEnd w:id="121"/>
      <w:r/>
      <w:bookmarkEnd w:id="122"/>
      <w:r/>
      <w:bookmarkEnd w:id="123"/>
      <w:r/>
      <w:bookmarkEnd w:id="124"/>
      <w:r/>
      <w:bookmarkEnd w:id="125"/>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2.3.2 合同涉及技术成果的归属和收益的分成办法的，详见</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sz w:val="24"/>
          <w:szCs w:val="24"/>
          <w:highlight w:val="none"/>
        </w:rPr>
        <w:t xml:space="preserve">。</w:t>
      </w:r>
      <w:r/>
    </w:p>
    <w:p>
      <w:pPr>
        <w:ind w:firstLine="482"/>
        <w:spacing w:line="44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2.4 履约检查和问题反馈</w:t>
      </w:r>
      <w:r/>
    </w:p>
    <w:p>
      <w:pPr>
        <w:ind w:firstLine="480"/>
        <w:spacing w:line="440" w:lineRule="exact"/>
        <w:rPr>
          <w:rFonts w:hint="default" w:ascii="Times New Roman" w:hAnsi="Times New Roman" w:cs="Times New Roman"/>
          <w:sz w:val="24"/>
          <w:szCs w:val="24"/>
          <w:highlight w:val="none"/>
        </w:rPr>
      </w:pPr>
      <w:r/>
      <w:bookmarkStart w:id="126" w:name="_Ref467379657"/>
      <w:r>
        <w:rPr>
          <w:rFonts w:hint="default" w:ascii="Times New Roman" w:hAnsi="Times New Roman" w:cs="Times New Roman"/>
          <w:sz w:val="24"/>
          <w:szCs w:val="24"/>
          <w:highlight w:val="none"/>
        </w:rPr>
        <w:t xml:space="preserve">2.4.1</w:t>
      </w:r>
      <w:bookmarkEnd w:id="126"/>
      <w:r/>
      <w:bookmarkStart w:id="127" w:name="_Toc186431854"/>
      <w:r/>
      <w:bookmarkStart w:id="128" w:name="_Toc487900357"/>
      <w:r/>
      <w:bookmarkStart w:id="129" w:name="_Ref467379793"/>
      <w:r/>
      <w:bookmarkStart w:id="130" w:name="_Toc279701247"/>
      <w:r/>
      <w:bookmarkStart w:id="131" w:name="_Toc259093676"/>
      <w:r/>
      <w:bookmarkStart w:id="132" w:name="_Ref467379807"/>
      <w:r>
        <w:rPr>
          <w:rFonts w:hint="default" w:ascii="Times New Roman" w:hAnsi="Times New Roman" w:cs="Times New Roman"/>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2.4.2 合同履行期间，甲方有权将履行过程中出现的问题反馈给乙方，双方当事人应以书面形式约定需要完善和改进的内容</w:t>
      </w:r>
      <w:bookmarkEnd w:id="127"/>
      <w:r/>
      <w:bookmarkStart w:id="133" w:name="_Toc186431855"/>
      <w:r>
        <w:rPr>
          <w:rFonts w:hint="default" w:ascii="Times New Roman" w:hAnsi="Times New Roman" w:cs="Times New Roman"/>
          <w:sz w:val="24"/>
          <w:szCs w:val="24"/>
          <w:highlight w:val="none"/>
        </w:rPr>
        <w:t xml:space="preserve">。</w:t>
      </w:r>
      <w:bookmarkEnd w:id="133"/>
      <w:r/>
      <w:r/>
    </w:p>
    <w:p>
      <w:pPr>
        <w:ind w:firstLine="482"/>
        <w:spacing w:line="440" w:lineRule="exact"/>
        <w:rPr>
          <w:rFonts w:hint="default" w:ascii="Times New Roman" w:hAnsi="Times New Roman" w:cs="Times New Roman"/>
          <w:b/>
          <w:sz w:val="24"/>
          <w:szCs w:val="24"/>
          <w:highlight w:val="none"/>
        </w:rPr>
      </w:pPr>
      <w:r/>
      <w:bookmarkStart w:id="134" w:name="_Toc31233"/>
      <w:r/>
      <w:bookmarkStart w:id="135" w:name="_Toc26555"/>
      <w:r/>
      <w:bookmarkStart w:id="136" w:name="_Toc22011"/>
      <w:r/>
      <w:bookmarkStart w:id="137" w:name="_Toc15447"/>
      <w:r/>
      <w:bookmarkStart w:id="138" w:name="_Toc32670"/>
      <w:r>
        <w:rPr>
          <w:rFonts w:hint="default" w:ascii="Times New Roman" w:hAnsi="Times New Roman" w:cs="Times New Roman"/>
          <w:b/>
          <w:sz w:val="24"/>
          <w:szCs w:val="24"/>
          <w:highlight w:val="none"/>
        </w:rPr>
        <w:t xml:space="preserve">2.5 结算方式和付款条件</w:t>
      </w:r>
      <w:bookmarkEnd w:id="128"/>
      <w:r/>
      <w:bookmarkEnd w:id="129"/>
      <w:r/>
      <w:bookmarkEnd w:id="130"/>
      <w:r/>
      <w:bookmarkEnd w:id="131"/>
      <w:r/>
      <w:bookmarkEnd w:id="132"/>
      <w:r/>
      <w:bookmarkEnd w:id="134"/>
      <w:r/>
      <w:bookmarkEnd w:id="135"/>
      <w:r/>
      <w:bookmarkEnd w:id="136"/>
      <w:r/>
      <w:bookmarkEnd w:id="137"/>
      <w:r/>
      <w:bookmarkEnd w:id="138"/>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详见</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sz w:val="24"/>
          <w:szCs w:val="24"/>
          <w:highlight w:val="none"/>
        </w:rPr>
        <w:t xml:space="preserve">。</w:t>
      </w:r>
      <w:r/>
    </w:p>
    <w:p>
      <w:pPr>
        <w:ind w:firstLine="482"/>
        <w:spacing w:line="440" w:lineRule="exact"/>
        <w:rPr>
          <w:rFonts w:hint="default" w:ascii="Times New Roman" w:hAnsi="Times New Roman" w:cs="Times New Roman"/>
          <w:b/>
          <w:sz w:val="24"/>
          <w:szCs w:val="24"/>
          <w:highlight w:val="none"/>
        </w:rPr>
      </w:pPr>
      <w:r/>
      <w:bookmarkStart w:id="139" w:name="_Toc259093677"/>
      <w:r/>
      <w:bookmarkStart w:id="140" w:name="_Ref467379923"/>
      <w:r/>
      <w:bookmarkStart w:id="141" w:name="_Toc279701248"/>
      <w:r/>
      <w:bookmarkStart w:id="142" w:name="_Ref467379852"/>
      <w:r/>
      <w:bookmarkStart w:id="143" w:name="_Ref467379863"/>
      <w:r/>
      <w:bookmarkStart w:id="144" w:name="_Toc487900358"/>
      <w:r/>
      <w:bookmarkStart w:id="145" w:name="_Toc16163"/>
      <w:r/>
      <w:bookmarkStart w:id="146" w:name="_Toc18990"/>
      <w:r/>
      <w:bookmarkStart w:id="147" w:name="_Toc13467"/>
      <w:r/>
      <w:bookmarkStart w:id="148" w:name="_Toc30507"/>
      <w:r/>
      <w:bookmarkStart w:id="149" w:name="_Toc13154"/>
      <w:r>
        <w:rPr>
          <w:rFonts w:hint="default" w:ascii="Times New Roman" w:hAnsi="Times New Roman" w:cs="Times New Roman"/>
          <w:b/>
          <w:sz w:val="24"/>
          <w:szCs w:val="24"/>
          <w:highlight w:val="none"/>
        </w:rPr>
        <w:t xml:space="preserve">2.6 技术资料</w:t>
      </w:r>
      <w:bookmarkEnd w:id="139"/>
      <w:r/>
      <w:bookmarkEnd w:id="140"/>
      <w:r/>
      <w:bookmarkEnd w:id="141"/>
      <w:r/>
      <w:bookmarkEnd w:id="142"/>
      <w:r/>
      <w:bookmarkEnd w:id="143"/>
      <w:r/>
      <w:bookmarkEnd w:id="144"/>
      <w:r>
        <w:rPr>
          <w:rFonts w:hint="default" w:ascii="Times New Roman" w:hAnsi="Times New Roman" w:cs="Times New Roman"/>
          <w:b/>
          <w:sz w:val="24"/>
          <w:szCs w:val="24"/>
          <w:highlight w:val="none"/>
        </w:rPr>
        <w:t xml:space="preserve">和保密义务</w:t>
      </w:r>
      <w:bookmarkEnd w:id="145"/>
      <w:r/>
      <w:bookmarkEnd w:id="146"/>
      <w:r/>
      <w:bookmarkEnd w:id="147"/>
      <w:r/>
      <w:bookmarkEnd w:id="148"/>
      <w:r/>
      <w:bookmarkEnd w:id="149"/>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2.6.1 乙方有权依据合同约定和项目需要，向甲方了解有关情况，调阅有关资料等，甲方应予积极配合；</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2.6.2 乙方有义务妥善保管和保护由甲方提供的前款信息和资料等；</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440" w:lineRule="exact"/>
        <w:rPr>
          <w:rFonts w:hint="default" w:ascii="Times New Roman" w:hAnsi="Times New Roman" w:cs="Times New Roman"/>
          <w:b/>
          <w:sz w:val="24"/>
          <w:szCs w:val="24"/>
          <w:highlight w:val="none"/>
        </w:rPr>
      </w:pPr>
      <w:r/>
      <w:bookmarkStart w:id="150" w:name="_Toc19069"/>
      <w:r/>
      <w:bookmarkStart w:id="151" w:name="_Toc279701252"/>
      <w:r/>
      <w:bookmarkStart w:id="152" w:name="_Toc259093681"/>
      <w:r/>
      <w:bookmarkStart w:id="153" w:name="_Toc487900362"/>
      <w:r>
        <w:rPr>
          <w:rFonts w:hint="default" w:ascii="Times New Roman" w:hAnsi="Times New Roman" w:cs="Times New Roman"/>
          <w:b/>
          <w:sz w:val="24"/>
          <w:szCs w:val="24"/>
          <w:highlight w:val="none"/>
        </w:rPr>
        <w:t xml:space="preserve">2.7 质量保证</w:t>
      </w:r>
      <w:bookmarkEnd w:id="150"/>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2.7.1 乙方应建立和完善履行合同的内部质量保证体系，并提供相关内部规章制度给甲方，以便甲方进行监督检查；</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440" w:lineRule="exact"/>
        <w:rPr>
          <w:rFonts w:hint="default" w:ascii="Times New Roman" w:hAnsi="Times New Roman" w:cs="Times New Roman"/>
          <w:b/>
          <w:sz w:val="24"/>
          <w:szCs w:val="24"/>
          <w:highlight w:val="none"/>
        </w:rPr>
      </w:pPr>
      <w:r/>
      <w:bookmarkStart w:id="154" w:name="_Toc22267"/>
      <w:r>
        <w:rPr>
          <w:rFonts w:hint="default" w:ascii="Times New Roman" w:hAnsi="Times New Roman" w:cs="Times New Roman"/>
          <w:b/>
          <w:sz w:val="24"/>
          <w:szCs w:val="24"/>
          <w:highlight w:val="none"/>
        </w:rPr>
        <w:t xml:space="preserve">2.8 延迟</w:t>
      </w:r>
      <w:bookmarkEnd w:id="151"/>
      <w:r/>
      <w:bookmarkEnd w:id="152"/>
      <w:r/>
      <w:bookmarkEnd w:id="153"/>
      <w:r>
        <w:rPr>
          <w:rFonts w:hint="default" w:ascii="Times New Roman" w:hAnsi="Times New Roman" w:cs="Times New Roman"/>
          <w:b/>
          <w:sz w:val="24"/>
          <w:szCs w:val="24"/>
          <w:highlight w:val="none"/>
        </w:rPr>
        <w:t xml:space="preserve">履行</w:t>
      </w:r>
      <w:bookmarkEnd w:id="154"/>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440" w:lineRule="exact"/>
        <w:rPr>
          <w:rFonts w:hint="default" w:ascii="Times New Roman" w:hAnsi="Times New Roman" w:cs="Times New Roman"/>
          <w:b/>
          <w:sz w:val="24"/>
          <w:szCs w:val="24"/>
          <w:highlight w:val="none"/>
        </w:rPr>
      </w:pPr>
      <w:r/>
      <w:bookmarkStart w:id="155" w:name="_Toc10611"/>
      <w:r/>
      <w:bookmarkStart w:id="156" w:name="_Ref467378121"/>
      <w:r/>
      <w:bookmarkStart w:id="157" w:name="_Toc259093683"/>
      <w:r/>
      <w:bookmarkStart w:id="158" w:name="_Toc487900364"/>
      <w:r/>
      <w:bookmarkStart w:id="159" w:name="_Toc279701254"/>
      <w:r>
        <w:rPr>
          <w:rFonts w:hint="default" w:ascii="Times New Roman" w:hAnsi="Times New Roman" w:cs="Times New Roman"/>
          <w:b/>
          <w:sz w:val="24"/>
          <w:szCs w:val="24"/>
          <w:highlight w:val="none"/>
        </w:rPr>
        <w:t xml:space="preserve">2.9 合同变更</w:t>
      </w:r>
      <w:bookmarkEnd w:id="155"/>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60" w:name="_Toc279701259"/>
      <w:r/>
      <w:bookmarkStart w:id="161" w:name="_Toc487900369"/>
      <w:r/>
      <w:bookmarkStart w:id="162" w:name="_Toc259093688"/>
      <w:r/>
      <w:r/>
    </w:p>
    <w:p>
      <w:pPr>
        <w:ind w:firstLine="482"/>
        <w:spacing w:line="440" w:lineRule="exact"/>
        <w:rPr>
          <w:rFonts w:hint="default" w:ascii="Times New Roman" w:hAnsi="Times New Roman" w:cs="Times New Roman"/>
          <w:b/>
          <w:sz w:val="24"/>
          <w:szCs w:val="24"/>
          <w:highlight w:val="none"/>
        </w:rPr>
      </w:pPr>
      <w:r/>
      <w:bookmarkStart w:id="163" w:name="_Toc23368"/>
      <w:r/>
      <w:bookmarkStart w:id="164" w:name="_Toc21830"/>
      <w:r/>
      <w:bookmarkStart w:id="165" w:name="_Toc42"/>
      <w:r/>
      <w:bookmarkStart w:id="166" w:name="_Toc26689"/>
      <w:r/>
      <w:bookmarkStart w:id="167" w:name="_Toc10663"/>
      <w:r>
        <w:rPr>
          <w:rFonts w:hint="default" w:ascii="Times New Roman" w:hAnsi="Times New Roman" w:cs="Times New Roman"/>
          <w:b/>
          <w:sz w:val="24"/>
          <w:szCs w:val="24"/>
          <w:highlight w:val="none"/>
        </w:rPr>
        <w:t xml:space="preserve">2.10 合同转让</w:t>
      </w:r>
      <w:bookmarkEnd w:id="160"/>
      <w:r/>
      <w:bookmarkEnd w:id="161"/>
      <w:r/>
      <w:bookmarkEnd w:id="162"/>
      <w:r>
        <w:rPr>
          <w:rFonts w:hint="default" w:ascii="Times New Roman" w:hAnsi="Times New Roman" w:cs="Times New Roman"/>
          <w:b/>
          <w:sz w:val="24"/>
          <w:szCs w:val="24"/>
          <w:highlight w:val="none"/>
        </w:rPr>
        <w:t xml:space="preserve">和分包</w:t>
      </w:r>
      <w:bookmarkEnd w:id="163"/>
      <w:r/>
      <w:bookmarkEnd w:id="164"/>
      <w:r/>
      <w:bookmarkEnd w:id="165"/>
      <w:r/>
      <w:bookmarkEnd w:id="166"/>
      <w:r/>
      <w:bookmarkEnd w:id="167"/>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440" w:lineRule="exact"/>
        <w:rPr>
          <w:rFonts w:hint="default" w:ascii="Times New Roman" w:hAnsi="Times New Roman" w:cs="Times New Roman"/>
          <w:b/>
          <w:sz w:val="24"/>
          <w:szCs w:val="24"/>
          <w:highlight w:val="none"/>
        </w:rPr>
      </w:pPr>
      <w:r/>
      <w:bookmarkStart w:id="168" w:name="_Toc4720"/>
      <w:r/>
      <w:bookmarkStart w:id="169" w:name="_Toc14371"/>
      <w:r/>
      <w:bookmarkStart w:id="170" w:name="_Toc25571"/>
      <w:r/>
      <w:bookmarkStart w:id="171" w:name="_Toc32494"/>
      <w:r/>
      <w:bookmarkStart w:id="172" w:name="_Toc26633"/>
      <w:r>
        <w:rPr>
          <w:rFonts w:hint="default" w:ascii="Times New Roman" w:hAnsi="Times New Roman" w:cs="Times New Roman"/>
          <w:b/>
          <w:sz w:val="24"/>
          <w:szCs w:val="24"/>
          <w:highlight w:val="none"/>
        </w:rPr>
        <w:t xml:space="preserve">2.11 不可抗力</w:t>
      </w:r>
      <w:bookmarkEnd w:id="168"/>
      <w:r/>
      <w:bookmarkEnd w:id="169"/>
      <w:r/>
      <w:bookmarkEnd w:id="170"/>
      <w:r/>
      <w:bookmarkEnd w:id="171"/>
      <w:r/>
      <w:bookmarkEnd w:id="172"/>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2.11.1如果任何一方遭遇法律规定的不可抗力，致使合同履行受阻时，履行合同的期限应予延长，延长的期限应相当于不可抗力所影响的时间；</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2.11.2 因不可抗力致使不能实现合同目的的，当事人可以解除合同；</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2.11.3 因不可抗力致使合同有变更必要的，双方当事人应在</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sz w:val="24"/>
          <w:szCs w:val="24"/>
          <w:highlight w:val="none"/>
        </w:rPr>
        <w:t xml:space="preserve">约定时间内以书面形式变更合同；</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2.11.4受不可抗力影响的一方在不可抗力发生后，应在</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sz w:val="24"/>
          <w:szCs w:val="24"/>
          <w:highlight w:val="none"/>
        </w:rPr>
        <w:t xml:space="preserve">约定时间内以书面形式通知对方当事人，并在</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sz w:val="24"/>
          <w:szCs w:val="24"/>
          <w:highlight w:val="none"/>
        </w:rPr>
        <w:t xml:space="preserve">约定时间内，将有关部门出具的证明文件送达对方当事人。</w:t>
      </w:r>
      <w:r/>
    </w:p>
    <w:p>
      <w:pPr>
        <w:ind w:firstLine="482"/>
        <w:spacing w:line="440" w:lineRule="exact"/>
        <w:rPr>
          <w:rFonts w:hint="default" w:ascii="Times New Roman" w:hAnsi="Times New Roman" w:cs="Times New Roman"/>
          <w:b/>
          <w:sz w:val="24"/>
          <w:szCs w:val="24"/>
          <w:highlight w:val="none"/>
        </w:rPr>
      </w:pPr>
      <w:r/>
      <w:bookmarkStart w:id="173" w:name="_Toc3638"/>
      <w:r/>
      <w:bookmarkStart w:id="174" w:name="_Toc487900365"/>
      <w:r/>
      <w:bookmarkStart w:id="175" w:name="_Toc23854"/>
      <w:r/>
      <w:bookmarkStart w:id="176" w:name="_Toc279701255"/>
      <w:r/>
      <w:bookmarkStart w:id="177" w:name="_Toc259093684"/>
      <w:r/>
      <w:bookmarkStart w:id="178" w:name="_Toc14115"/>
      <w:r/>
      <w:bookmarkStart w:id="179" w:name="_Toc25783"/>
      <w:r/>
      <w:bookmarkStart w:id="180" w:name="_Toc24465"/>
      <w:r>
        <w:rPr>
          <w:rFonts w:hint="default" w:ascii="Times New Roman" w:hAnsi="Times New Roman" w:cs="Times New Roman"/>
          <w:b/>
          <w:sz w:val="24"/>
          <w:szCs w:val="24"/>
          <w:highlight w:val="none"/>
        </w:rPr>
        <w:t xml:space="preserve">2.12 税费</w:t>
      </w:r>
      <w:bookmarkEnd w:id="173"/>
      <w:r/>
      <w:bookmarkEnd w:id="174"/>
      <w:r/>
      <w:bookmarkEnd w:id="175"/>
      <w:r/>
      <w:bookmarkEnd w:id="176"/>
      <w:r/>
      <w:bookmarkEnd w:id="177"/>
      <w:r/>
      <w:bookmarkEnd w:id="178"/>
      <w:r/>
      <w:bookmarkEnd w:id="179"/>
      <w:r/>
      <w:bookmarkEnd w:id="180"/>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与合同有关的一切税费，均按照中华人民共和国法律的相关规定缴纳。</w:t>
      </w:r>
      <w:r/>
    </w:p>
    <w:p>
      <w:pPr>
        <w:ind w:firstLine="482"/>
        <w:spacing w:line="440" w:lineRule="exact"/>
        <w:rPr>
          <w:rFonts w:hint="default" w:ascii="Times New Roman" w:hAnsi="Times New Roman" w:cs="Times New Roman"/>
          <w:b/>
          <w:sz w:val="24"/>
          <w:szCs w:val="24"/>
          <w:highlight w:val="none"/>
        </w:rPr>
      </w:pPr>
      <w:r/>
      <w:bookmarkStart w:id="181" w:name="_Toc26883"/>
      <w:r/>
      <w:bookmarkStart w:id="182" w:name="_Toc30105"/>
      <w:r/>
      <w:bookmarkStart w:id="183" w:name="_Toc14814"/>
      <w:r/>
      <w:bookmarkStart w:id="184" w:name="_Toc279701258"/>
      <w:r/>
      <w:bookmarkStart w:id="185" w:name="_Toc7315"/>
      <w:r/>
      <w:bookmarkStart w:id="186" w:name="_Toc259093687"/>
      <w:r/>
      <w:bookmarkStart w:id="187" w:name="_Toc25525"/>
      <w:r/>
      <w:bookmarkStart w:id="188" w:name="_Toc487900368"/>
      <w:r>
        <w:rPr>
          <w:rFonts w:hint="default" w:ascii="Times New Roman" w:hAnsi="Times New Roman" w:cs="Times New Roman"/>
          <w:b/>
          <w:sz w:val="24"/>
          <w:szCs w:val="24"/>
          <w:highlight w:val="none"/>
        </w:rPr>
        <w:t xml:space="preserve">2.13 乙方破产</w:t>
      </w:r>
      <w:bookmarkEnd w:id="181"/>
      <w:r/>
      <w:bookmarkEnd w:id="182"/>
      <w:r/>
      <w:bookmarkEnd w:id="183"/>
      <w:r/>
      <w:bookmarkEnd w:id="184"/>
      <w:r/>
      <w:bookmarkEnd w:id="185"/>
      <w:r/>
      <w:bookmarkEnd w:id="186"/>
      <w:r/>
      <w:bookmarkEnd w:id="187"/>
      <w:r/>
      <w:bookmarkEnd w:id="188"/>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440" w:lineRule="exact"/>
        <w:rPr>
          <w:rFonts w:hint="default" w:ascii="Times New Roman" w:hAnsi="Times New Roman" w:cs="Times New Roman"/>
          <w:b/>
          <w:sz w:val="24"/>
          <w:szCs w:val="24"/>
          <w:highlight w:val="none"/>
        </w:rPr>
      </w:pPr>
      <w:r/>
      <w:bookmarkStart w:id="189" w:name="_Toc1123"/>
      <w:r/>
      <w:bookmarkStart w:id="190" w:name="_Toc2016"/>
      <w:r/>
      <w:bookmarkStart w:id="191" w:name="_Toc23323"/>
      <w:r>
        <w:rPr>
          <w:rFonts w:hint="default" w:ascii="Times New Roman" w:hAnsi="Times New Roman" w:cs="Times New Roman"/>
          <w:b/>
          <w:sz w:val="24"/>
          <w:szCs w:val="24"/>
          <w:highlight w:val="none"/>
        </w:rPr>
        <w:t xml:space="preserve">2.14 合同中止、终止</w:t>
      </w:r>
      <w:bookmarkEnd w:id="189"/>
      <w:r/>
      <w:bookmarkEnd w:id="190"/>
      <w:r/>
      <w:bookmarkEnd w:id="191"/>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2.14.1 双方当事人不得擅自中止或者终止合同；</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440" w:lineRule="exact"/>
        <w:rPr>
          <w:rFonts w:hint="default" w:ascii="Times New Roman" w:hAnsi="Times New Roman" w:cs="Times New Roman"/>
          <w:b/>
          <w:sz w:val="24"/>
          <w:szCs w:val="24"/>
          <w:highlight w:val="none"/>
        </w:rPr>
      </w:pPr>
      <w:r/>
      <w:bookmarkStart w:id="192" w:name="_Toc17363"/>
      <w:r/>
      <w:bookmarkStart w:id="193" w:name="_Toc14525"/>
      <w:r/>
      <w:bookmarkStart w:id="194" w:name="_Toc1969"/>
      <w:r>
        <w:rPr>
          <w:rFonts w:hint="default" w:ascii="Times New Roman" w:hAnsi="Times New Roman" w:cs="Times New Roman"/>
          <w:b/>
          <w:sz w:val="24"/>
          <w:szCs w:val="24"/>
          <w:highlight w:val="none"/>
        </w:rPr>
        <w:t xml:space="preserve">2.15 检验和验收</w:t>
      </w:r>
      <w:bookmarkEnd w:id="192"/>
      <w:r/>
      <w:bookmarkEnd w:id="193"/>
      <w:r/>
      <w:bookmarkEnd w:id="194"/>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2.15.1 乙方按照</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sz w:val="24"/>
          <w:szCs w:val="24"/>
          <w:highlight w:val="none"/>
        </w:rPr>
        <w:t xml:space="preserve">的约定，定期提交服务报告，甲方按照</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sz w:val="24"/>
          <w:szCs w:val="24"/>
          <w:highlight w:val="none"/>
        </w:rPr>
        <w:t xml:space="preserve">的约定进行定期验收；</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2.15.3 检验和验收标准、程序等具体内容以及前述验收书的效力详见</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i/>
          <w:sz w:val="24"/>
          <w:szCs w:val="24"/>
          <w:highlight w:val="none"/>
        </w:rPr>
        <w:t xml:space="preserve">。</w:t>
      </w:r>
      <w:bookmarkEnd w:id="156"/>
      <w:r/>
      <w:bookmarkEnd w:id="157"/>
      <w:r/>
      <w:bookmarkEnd w:id="158"/>
      <w:r/>
      <w:bookmarkEnd w:id="159"/>
      <w:r/>
      <w:r/>
    </w:p>
    <w:p>
      <w:pPr>
        <w:ind w:firstLine="482"/>
        <w:spacing w:line="440" w:lineRule="exact"/>
        <w:rPr>
          <w:rFonts w:hint="default" w:ascii="Times New Roman" w:hAnsi="Times New Roman" w:cs="Times New Roman"/>
          <w:b/>
          <w:sz w:val="24"/>
          <w:szCs w:val="24"/>
          <w:highlight w:val="none"/>
        </w:rPr>
      </w:pPr>
      <w:r/>
      <w:bookmarkStart w:id="195" w:name="_Toc259093690"/>
      <w:r/>
      <w:bookmarkStart w:id="196" w:name="_Toc279701261"/>
      <w:r/>
      <w:bookmarkStart w:id="197" w:name="_Toc487900371"/>
      <w:r/>
      <w:bookmarkStart w:id="198" w:name="_Toc9808"/>
      <w:r/>
      <w:bookmarkStart w:id="199" w:name="_Toc12666"/>
      <w:r/>
      <w:bookmarkStart w:id="200" w:name="_Toc2308"/>
      <w:r/>
      <w:bookmarkStart w:id="201" w:name="_Toc31892"/>
      <w:r/>
      <w:bookmarkStart w:id="202" w:name="_Toc25198"/>
      <w:r>
        <w:rPr>
          <w:rFonts w:hint="default" w:ascii="Times New Roman" w:hAnsi="Times New Roman" w:cs="Times New Roman"/>
          <w:b/>
          <w:sz w:val="24"/>
          <w:szCs w:val="24"/>
          <w:highlight w:val="none"/>
        </w:rPr>
        <w:t xml:space="preserve">2.16 通知</w:t>
      </w:r>
      <w:bookmarkEnd w:id="195"/>
      <w:r/>
      <w:bookmarkEnd w:id="196"/>
      <w:r/>
      <w:bookmarkEnd w:id="197"/>
      <w:r>
        <w:rPr>
          <w:rFonts w:hint="default" w:ascii="Times New Roman" w:hAnsi="Times New Roman" w:cs="Times New Roman"/>
          <w:b/>
          <w:sz w:val="24"/>
          <w:szCs w:val="24"/>
          <w:highlight w:val="none"/>
        </w:rPr>
        <w:t xml:space="preserve">和送达</w:t>
      </w:r>
      <w:bookmarkEnd w:id="198"/>
      <w:r/>
      <w:bookmarkEnd w:id="199"/>
      <w:r/>
      <w:bookmarkEnd w:id="200"/>
      <w:r/>
      <w:bookmarkEnd w:id="201"/>
      <w:r/>
      <w:bookmarkEnd w:id="202"/>
      <w:r/>
      <w:r/>
    </w:p>
    <w:p>
      <w:pPr>
        <w:ind w:firstLine="480"/>
        <w:spacing w:line="440" w:lineRule="exact"/>
        <w:rPr>
          <w:rFonts w:hint="default" w:ascii="Times New Roman" w:hAnsi="Times New Roman" w:cs="Times New Roman"/>
          <w:sz w:val="24"/>
          <w:szCs w:val="24"/>
          <w:highlight w:val="none"/>
        </w:rPr>
      </w:pPr>
      <w:r/>
      <w:bookmarkStart w:id="203" w:name="_Toc29220"/>
      <w:r/>
      <w:bookmarkStart w:id="204" w:name="_Toc7073"/>
      <w:r/>
      <w:bookmarkStart w:id="205" w:name="_Toc259093691"/>
      <w:r/>
      <w:bookmarkStart w:id="206" w:name="_Toc279701262"/>
      <w:r/>
      <w:bookmarkStart w:id="207" w:name="_Toc487900372"/>
      <w:r>
        <w:rPr>
          <w:rFonts w:hint="default" w:ascii="Times New Roman" w:hAnsi="Times New Roman" w:cs="Times New Roman"/>
          <w:sz w:val="24"/>
          <w:szCs w:val="24"/>
          <w:highlight w:val="none"/>
        </w:rPr>
        <w:t xml:space="preserve">2.16.1 任何一方因履行合同而以合同第一部分尾部所列明的</w:t>
      </w:r>
      <w:r>
        <w:rPr>
          <w:rFonts w:hint="default" w:ascii="Times New Roman" w:hAnsi="Times New Roman" w:cs="Times New Roman"/>
          <w:sz w:val="24"/>
          <w:szCs w:val="24"/>
          <w:highlight w:val="none"/>
          <w:u w:val="single"/>
        </w:rPr>
        <w:t xml:space="preserve">  约定送达地址  </w:t>
      </w:r>
      <w:r>
        <w:rPr>
          <w:rFonts w:hint="default" w:ascii="Times New Roman" w:hAnsi="Times New Roman" w:cs="Times New Roman"/>
          <w:sz w:val="24"/>
          <w:szCs w:val="24"/>
          <w:highlight w:val="none"/>
        </w:rPr>
        <w:t xml:space="preserve">发出的所有通知、文件、材料，均视为已向对方当事人送达；任何一方变更上述送达方式或者地址的，应于</w:t>
      </w:r>
      <w:r>
        <w:rPr>
          <w:rFonts w:hint="default" w:ascii="Times New Roman" w:hAnsi="Times New Roman" w:cs="Times New Roman"/>
          <w:sz w:val="24"/>
          <w:szCs w:val="24"/>
          <w:highlight w:val="none"/>
          <w:u w:val="single"/>
        </w:rPr>
        <w:t xml:space="preserve"> 十五 </w:t>
      </w:r>
      <w:r>
        <w:rPr>
          <w:rFonts w:hint="default" w:ascii="Times New Roman" w:hAnsi="Times New Roman" w:cs="Times New Roman"/>
          <w:sz w:val="24"/>
          <w:szCs w:val="24"/>
          <w:highlight w:val="none"/>
        </w:rPr>
        <w:t xml:space="preserve">个工作日内书面通知对方当事人，在对方当事人收到有关变更通知之前，变更前的约定送达方式或者地址仍视为有效。</w:t>
      </w:r>
      <w:bookmarkEnd w:id="203"/>
      <w:r/>
      <w:bookmarkEnd w:id="204"/>
      <w:r/>
      <w:r/>
    </w:p>
    <w:p>
      <w:pPr>
        <w:ind w:firstLine="480"/>
        <w:spacing w:line="440" w:lineRule="exact"/>
        <w:rPr>
          <w:rFonts w:hint="default" w:ascii="Times New Roman" w:hAnsi="Times New Roman" w:cs="Times New Roman"/>
          <w:sz w:val="24"/>
          <w:szCs w:val="24"/>
          <w:highlight w:val="none"/>
        </w:rPr>
      </w:pPr>
      <w:r/>
      <w:bookmarkStart w:id="208" w:name="_Toc27674"/>
      <w:r/>
      <w:bookmarkStart w:id="209" w:name="_Toc18401"/>
      <w:r>
        <w:rPr>
          <w:rFonts w:hint="default" w:ascii="Times New Roman" w:hAnsi="Times New Roman" w:cs="Times New Roman"/>
          <w:sz w:val="24"/>
          <w:szCs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05"/>
      <w:r/>
      <w:bookmarkEnd w:id="206"/>
      <w:r/>
      <w:bookmarkEnd w:id="207"/>
      <w:r/>
      <w:bookmarkEnd w:id="208"/>
      <w:r/>
      <w:bookmarkEnd w:id="209"/>
      <w:r/>
      <w:r/>
    </w:p>
    <w:p>
      <w:pPr>
        <w:ind w:firstLine="482"/>
        <w:spacing w:line="440" w:lineRule="exact"/>
        <w:rPr>
          <w:rFonts w:hint="default" w:ascii="Times New Roman" w:hAnsi="Times New Roman" w:cs="Times New Roman"/>
          <w:b/>
          <w:sz w:val="24"/>
          <w:szCs w:val="24"/>
          <w:highlight w:val="none"/>
        </w:rPr>
      </w:pPr>
      <w:r/>
      <w:bookmarkStart w:id="210" w:name="_Toc487900373"/>
      <w:r/>
      <w:bookmarkStart w:id="211" w:name="_Toc28906"/>
      <w:r/>
      <w:bookmarkStart w:id="212" w:name="_Toc259093692"/>
      <w:r/>
      <w:bookmarkStart w:id="213" w:name="_Toc12254"/>
      <w:r/>
      <w:bookmarkStart w:id="214" w:name="_Toc279701263"/>
      <w:r/>
      <w:bookmarkStart w:id="215" w:name="_Toc5063"/>
      <w:r/>
      <w:bookmarkStart w:id="216" w:name="_Toc27644"/>
      <w:r/>
      <w:bookmarkStart w:id="217" w:name="_Toc20808"/>
      <w:r>
        <w:rPr>
          <w:rFonts w:hint="default" w:ascii="Times New Roman" w:hAnsi="Times New Roman" w:cs="Times New Roman"/>
          <w:b/>
          <w:sz w:val="24"/>
          <w:szCs w:val="24"/>
          <w:highlight w:val="none"/>
        </w:rPr>
        <w:t xml:space="preserve">2.17 合同使用的文字和适用的法律</w:t>
      </w:r>
      <w:bookmarkEnd w:id="210"/>
      <w:r/>
      <w:bookmarkEnd w:id="211"/>
      <w:r/>
      <w:bookmarkEnd w:id="212"/>
      <w:r/>
      <w:bookmarkEnd w:id="213"/>
      <w:r/>
      <w:bookmarkEnd w:id="214"/>
      <w:r/>
      <w:bookmarkEnd w:id="215"/>
      <w:r/>
      <w:bookmarkEnd w:id="216"/>
      <w:r/>
      <w:bookmarkEnd w:id="217"/>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2.17.1 合同使用汉语书就、变更和解释；</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2.17.2 合同适用中华人民共和国法律。</w:t>
      </w:r>
      <w:r/>
    </w:p>
    <w:p>
      <w:pPr>
        <w:ind w:firstLine="482"/>
        <w:spacing w:line="440" w:lineRule="exact"/>
        <w:rPr>
          <w:rFonts w:hint="default" w:ascii="Times New Roman" w:hAnsi="Times New Roman" w:cs="Times New Roman"/>
          <w:b/>
          <w:sz w:val="24"/>
          <w:szCs w:val="24"/>
          <w:highlight w:val="none"/>
        </w:rPr>
      </w:pPr>
      <w:r/>
      <w:bookmarkStart w:id="218" w:name="_Toc27127"/>
      <w:r/>
      <w:bookmarkStart w:id="219" w:name="_Toc1492"/>
      <w:r/>
      <w:bookmarkStart w:id="220" w:name="_Toc279701264"/>
      <w:r/>
      <w:bookmarkStart w:id="221" w:name="_Toc22266"/>
      <w:r/>
      <w:bookmarkStart w:id="222" w:name="_Toc259093693"/>
      <w:r/>
      <w:bookmarkStart w:id="223" w:name="_Toc30096"/>
      <w:r/>
      <w:bookmarkStart w:id="224" w:name="_Toc27403"/>
      <w:r/>
      <w:bookmarkStart w:id="225" w:name="_Toc487900374"/>
      <w:r>
        <w:rPr>
          <w:rFonts w:hint="default" w:ascii="Times New Roman" w:hAnsi="Times New Roman" w:cs="Times New Roman"/>
          <w:b/>
          <w:sz w:val="24"/>
          <w:szCs w:val="24"/>
          <w:highlight w:val="none"/>
        </w:rPr>
        <w:t xml:space="preserve">2.18 履约保证金</w:t>
      </w:r>
      <w:bookmarkEnd w:id="218"/>
      <w:r/>
      <w:bookmarkEnd w:id="219"/>
      <w:r/>
      <w:bookmarkEnd w:id="220"/>
      <w:r/>
      <w:bookmarkEnd w:id="221"/>
      <w:r/>
      <w:bookmarkEnd w:id="222"/>
      <w:r/>
      <w:bookmarkEnd w:id="223"/>
      <w:r/>
      <w:bookmarkEnd w:id="224"/>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2.18.1 采购文件要求乙方提交履约保证金的，乙方应按</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sz w:val="24"/>
          <w:szCs w:val="24"/>
          <w:highlight w:val="none"/>
        </w:rPr>
        <w:t xml:space="preserve">约定的方式，以转账、支票、汇票、本票或者金融机构、担保机构出具的保函等非现金形式，提交不超过合同价10%的履约保证金；</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2.18.2 履约保证金在</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sz w:val="24"/>
          <w:szCs w:val="24"/>
          <w:highlight w:val="none"/>
        </w:rPr>
        <w:t xml:space="preserve">约定期间内不予退还或者应完全有效，前述约定期间届满之日起</w:t>
      </w:r>
      <w:r>
        <w:rPr>
          <w:rFonts w:hint="default" w:ascii="Times New Roman" w:hAnsi="Times New Roman" w:cs="Times New Roman"/>
          <w:sz w:val="24"/>
          <w:szCs w:val="24"/>
          <w:highlight w:val="none"/>
          <w:u w:val="single"/>
        </w:rPr>
        <w:t xml:space="preserve">  三十  </w:t>
      </w:r>
      <w:r>
        <w:rPr>
          <w:rFonts w:hint="default" w:ascii="Times New Roman" w:hAnsi="Times New Roman" w:cs="Times New Roman"/>
          <w:sz w:val="24"/>
          <w:szCs w:val="24"/>
          <w:highlight w:val="none"/>
        </w:rPr>
        <w:t xml:space="preserve">个工作日内，甲方应将履约保证金退还乙方；</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25"/>
      <w:r/>
      <w:r/>
    </w:p>
    <w:p>
      <w:pPr>
        <w:ind w:firstLine="482"/>
        <w:spacing w:line="44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2.19 合同份数</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合同份数按</w:t>
      </w:r>
      <w:r>
        <w:rPr>
          <w:rFonts w:hint="default" w:ascii="Times New Roman" w:hAnsi="Times New Roman" w:cs="Times New Roman"/>
          <w:b/>
          <w:i/>
          <w:sz w:val="24"/>
          <w:szCs w:val="24"/>
          <w:highlight w:val="none"/>
          <w:u w:val="single"/>
        </w:rPr>
        <w:t xml:space="preserve">合同专用条款</w:t>
      </w:r>
      <w:r>
        <w:rPr>
          <w:rFonts w:hint="default" w:ascii="Times New Roman" w:hAnsi="Times New Roman" w:cs="Times New Roman"/>
          <w:sz w:val="24"/>
          <w:szCs w:val="24"/>
          <w:highlight w:val="none"/>
        </w:rPr>
        <w:t xml:space="preserve">规定，每份均具有同等法律效力。</w:t>
      </w:r>
      <w:r/>
    </w:p>
    <w:p>
      <w:pPr>
        <w:jc w:val="center"/>
        <w:spacing w:line="440" w:lineRule="exact"/>
        <w:rPr>
          <w:rFonts w:hint="default" w:ascii="Times New Roman" w:hAnsi="Times New Roman" w:cs="Times New Roman"/>
          <w:sz w:val="24"/>
          <w:szCs w:val="24"/>
          <w:highlight w:val="none"/>
        </w:rPr>
      </w:pPr>
      <w:r/>
      <w:bookmarkStart w:id="226" w:name="_Toc331685784"/>
      <w:r/>
      <w:r/>
    </w:p>
    <w:p>
      <w:pPr>
        <w:jc w:val="center"/>
        <w:spacing w:line="440" w:lineRule="exact"/>
        <w:rPr>
          <w:rFonts w:hint="default" w:ascii="Times New Roman" w:hAnsi="Times New Roman" w:cs="Times New Roman"/>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sz w:val="24"/>
          <w:szCs w:val="24"/>
          <w:highlight w:val="none"/>
        </w:rPr>
      </w:r>
      <w:r/>
    </w:p>
    <w:p>
      <w:pPr>
        <w:jc w:val="center"/>
        <w:spacing w:line="440" w:lineRule="exact"/>
        <w:rPr>
          <w:rFonts w:hint="default" w:ascii="Times New Roman" w:hAnsi="Times New Roman" w:cs="Times New Roman"/>
          <w:b/>
          <w:sz w:val="24"/>
          <w:szCs w:val="24"/>
          <w:highlight w:val="none"/>
        </w:rPr>
        <w:outlineLvl w:val="2"/>
      </w:pPr>
      <w:r>
        <w:rPr>
          <w:rFonts w:hint="default" w:ascii="Times New Roman" w:hAnsi="Times New Roman" w:cs="Times New Roman"/>
          <w:b/>
          <w:sz w:val="24"/>
          <w:szCs w:val="24"/>
          <w:highlight w:val="none"/>
        </w:rPr>
        <w:t xml:space="preserve">第三部分 合同专用条款</w:t>
      </w:r>
      <w:bookmarkEnd w:id="226"/>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815"/>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8358"/>
      </w:tblGrid>
      <w:tr>
        <w:trPr>
          <w:jc w:val="center"/>
          <w:trHeight w:val="391"/>
        </w:trPr>
        <w:tc>
          <w:tcPr>
            <w:tcBorders>
              <w:left w:val="single" w:color="auto" w:sz="4" w:space="0"/>
            </w:tcBorders>
            <w:tcW w:w="851" w:type="dxa"/>
            <w:vAlign w:val="center"/>
            <w:textDirection w:val="lrTb"/>
            <w:noWrap w:val="false"/>
          </w:tcPr>
          <w:p>
            <w:pPr>
              <w:jc w:val="center"/>
              <w:spacing w:line="44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条款号</w:t>
            </w:r>
            <w:r/>
          </w:p>
        </w:tc>
        <w:tc>
          <w:tcPr>
            <w:tcW w:w="8358" w:type="dxa"/>
            <w:vAlign w:val="center"/>
            <w:textDirection w:val="lrTb"/>
            <w:noWrap w:val="false"/>
          </w:tcPr>
          <w:p>
            <w:pPr>
              <w:jc w:val="center"/>
              <w:spacing w:line="44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约定内容</w:t>
            </w:r>
            <w:r/>
          </w:p>
        </w:tc>
      </w:tr>
      <w:tr>
        <w:trPr>
          <w:jc w:val="center"/>
          <w:trHeight w:val="88"/>
        </w:trPr>
        <w:tc>
          <w:tcPr>
            <w:tcBorders>
              <w:left w:val="single" w:color="auto" w:sz="4" w:space="0"/>
            </w:tcBorders>
            <w:tcW w:w="851" w:type="dxa"/>
            <w:vAlign w:val="center"/>
            <w:textDirection w:val="lrTb"/>
            <w:noWrap w:val="false"/>
          </w:tcPr>
          <w:p>
            <w:pPr>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2.3.2</w:t>
            </w:r>
            <w:r/>
          </w:p>
        </w:tc>
        <w:tc>
          <w:tcPr>
            <w:tcW w:w="8358" w:type="dxa"/>
            <w:vAlign w:val="center"/>
            <w:textDirection w:val="lrTb"/>
            <w:noWrap w:val="false"/>
          </w:tcPr>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甲方有权在本项目的实施中借鉴使用所有乙方的响应内容，事先不需要取得乙方的许可，但甲方不得将其作为其他用途。</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未经甲方书面同意，乙方不得把与本项目合同有关的资料给出版社和新闻机构发表或学术引用。</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在合同履行期间，乙方从甲方处所获得的文件、资料及在服务过程中所取得的与履行合同有关的工作成果归甲方所有，乙方负有保密义务。未经甲方书面同意，乙方不得在合同期内或合同履行完毕后以任何方式泄露。</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对于乙方使用的新技术和新方法，甲方负有保密义务，未经乙方书面同意，不得以任何方式泄露。</w:t>
            </w: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2.5</w:t>
            </w:r>
            <w:r/>
          </w:p>
        </w:tc>
        <w:tc>
          <w:tcPr>
            <w:tcW w:w="8358" w:type="dxa"/>
            <w:vAlign w:val="center"/>
            <w:textDirection w:val="lrTb"/>
            <w:noWrap w:val="false"/>
          </w:tcPr>
          <w:p>
            <w:pPr>
              <w:ind w:firstLine="480"/>
              <w:spacing w:line="46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见本合同第一部分合同书约定。项目实际支付进度及金额根据合同约定和当年政府财政拨款情况进行支付，甲方据此不视为违约。</w:t>
            </w: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2.11.3</w:t>
            </w:r>
            <w:r/>
          </w:p>
        </w:tc>
        <w:tc>
          <w:tcPr>
            <w:tcW w:w="8358" w:type="dxa"/>
            <w:vAlign w:val="center"/>
            <w:textDirection w:val="lrTb"/>
            <w:noWrap w:val="false"/>
          </w:tcPr>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因不可抗力致使合同有变更必要的，双方当事人应在</w:t>
            </w:r>
            <w:r>
              <w:rPr>
                <w:rFonts w:hint="default" w:ascii="Times New Roman" w:hAnsi="Times New Roman" w:cs="Times New Roman"/>
                <w:sz w:val="24"/>
                <w:szCs w:val="24"/>
                <w:highlight w:val="none"/>
                <w:u w:val="single"/>
              </w:rPr>
              <w:t xml:space="preserve">10天内</w:t>
            </w:r>
            <w:r>
              <w:rPr>
                <w:rFonts w:hint="default" w:ascii="Times New Roman" w:hAnsi="Times New Roman" w:cs="Times New Roman"/>
                <w:sz w:val="24"/>
                <w:szCs w:val="24"/>
                <w:highlight w:val="none"/>
              </w:rPr>
              <w:t xml:space="preserve">以书面形式变更合同。</w:t>
            </w: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2.11.4</w:t>
            </w:r>
            <w:r/>
          </w:p>
        </w:tc>
        <w:tc>
          <w:tcPr>
            <w:tcW w:w="8358" w:type="dxa"/>
            <w:vAlign w:val="center"/>
            <w:textDirection w:val="lrTb"/>
            <w:noWrap w:val="false"/>
          </w:tcPr>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受不可抗力影响的一方在不可抗力发生后，应在</w:t>
            </w:r>
            <w:r>
              <w:rPr>
                <w:rFonts w:hint="default" w:ascii="Times New Roman" w:hAnsi="Times New Roman" w:cs="Times New Roman"/>
                <w:sz w:val="24"/>
                <w:szCs w:val="24"/>
                <w:highlight w:val="none"/>
                <w:u w:val="single"/>
              </w:rPr>
              <w:t xml:space="preserve">3天内</w:t>
            </w:r>
            <w:r>
              <w:rPr>
                <w:rFonts w:hint="default" w:ascii="Times New Roman" w:hAnsi="Times New Roman" w:cs="Times New Roman"/>
                <w:sz w:val="24"/>
                <w:szCs w:val="24"/>
                <w:highlight w:val="none"/>
              </w:rPr>
              <w:t xml:space="preserve">以书面形式通知对方当事人，并在</w:t>
            </w:r>
            <w:r>
              <w:rPr>
                <w:rFonts w:hint="default" w:ascii="Times New Roman" w:hAnsi="Times New Roman" w:cs="Times New Roman"/>
                <w:sz w:val="24"/>
                <w:szCs w:val="24"/>
                <w:highlight w:val="none"/>
                <w:u w:val="single"/>
              </w:rPr>
              <w:t xml:space="preserve">7天内</w:t>
            </w:r>
            <w:r>
              <w:rPr>
                <w:rFonts w:hint="default" w:ascii="Times New Roman" w:hAnsi="Times New Roman" w:cs="Times New Roman"/>
                <w:sz w:val="24"/>
                <w:szCs w:val="24"/>
                <w:highlight w:val="none"/>
              </w:rPr>
              <w:t xml:space="preserve">，将有关部门出具的证明文件送达对方当事人。</w:t>
            </w: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2.15.3</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乙方服务完成后需通过甲方的验收。</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验收标准：满足采购文件、投标文件及合同、国标或行业标准等。</w:t>
            </w: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2.18</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不收取履约保证金。</w:t>
            </w: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2.19</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合同一式五份，乙方执二份、甲方执二份、代理机构执一份，具有同等法律效力。</w:t>
            </w:r>
            <w:r/>
          </w:p>
        </w:tc>
      </w:tr>
      <w:tr>
        <w:trPr>
          <w:jc w:val="center"/>
          <w:trHeight w:val="352"/>
        </w:trPr>
        <w:tc>
          <w:tcPr>
            <w:tcBorders>
              <w:left w:val="single" w:color="auto" w:sz="4" w:space="0"/>
            </w:tcBorders>
            <w:tcW w:w="851" w:type="dxa"/>
            <w:vAlign w:val="center"/>
            <w:textDirection w:val="lrTb"/>
            <w:noWrap w:val="false"/>
          </w:tcPr>
          <w:p>
            <w:pPr>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2.20</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一、权利与义务约定</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（一）甲方权利义务：</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1、甲方应按时支付服务费。</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2、甲方有权对乙方派遣的人员进行考核和管理，对不符合甲方要求的人员，甲方有权随时要求乙方加强管理直至更换符合甲方要求的人员为止。</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3、甲方不得指使保安人员从事违法犯罪活动。</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4、对于乙方指出的事故隐患及时整改，以有效避免事故的发生，若由于乙方过失给甲方造成经济和损失的，乙方需据实赔偿；乙方服务重大过失的，甲方可单方面解除合同。</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5、法规、政策规定由甲方承担的其他责任。</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（二）乙方权利义务：</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乙方负责对服务场所的门卫执勤，对内部及周围环境进行巡逻执勤，维护服务区域内的正常工作、生活秩序，防范刑事、治安案件的发生，制止各类纠纷或打架斗殴等突发事件，以各种合法手段保证甲方的财产安全。</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乙方应安排身体健康、品性良好、经培训合格具有相应从业资格的保安人员到甲方上岗，负责安全保卫的服务人员应按有关规定统一着保安制服、佩带保安标志，做到着装整洁、仪表端庄、礼貌服务、文明值勤、秉公办事，遵守国家法律和单位内部规章制度，不得迟到、早退、脱岗、串岗，不得有违法乱纪的行为。</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3、乙方应保证在岗保安服务人员的人数，保安服务人员若请假，乙方应及时调整替班人员。</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4、乙方派出的服务人员应服从甲方的统一调度和指挥，若不服从甲方的指挥或有其他违法违纪行为，甲方有权要求乙方更换队员，乙方应于接到甲方的更换要求之日起两日内完成，不得借口推辞。</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5、对在执勤过程中发现的事故隐患及时通知甲方，并督促甲方整改。</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6、乙方对在工作中出现的保安服务人员的人身安全承担责任，并对由于保安服务人员的原因导致的第三人的人身财产损失承担赔偿责任。</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7、乙方除应做好服务人员的安全教育外，还应为服务人员提供必要的劳动保护条件，为服务人员办理作业时的人身安全保险和意外伤害险，一切安全责任事故均由乙方负责（保险种类由乙方自行选择）；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8、乙方人员不得私自在学校内拍照、录视频；不得将涉及学校内情的图片、视频或信息，进行拷贝和传播。</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9、乙方应根据国家法律法规的规定与其派遣至甲方服务的人员签署劳动合同，并负责上述人员的工资和社会劳动保险、奖金、福利等费用，若发生劳动争议均由乙方自己解决并承担所有责任，甲方无任何连带关系和责任；如发生违反计划生育规定的，由乙方自行解决并承担所有责任，甲方无任何连带关系和责任。</w:t>
            </w:r>
            <w:r/>
          </w:p>
          <w:p>
            <w:pPr>
              <w:ind w:firstLine="480"/>
              <w:spacing w:line="440" w:lineRule="exact"/>
              <w:tabs>
                <w:tab w:val="left" w:pos="360" w:leader="none"/>
                <w:tab w:val="left" w:pos="540" w:leader="none"/>
                <w:tab w:val="left" w:pos="1080" w:leader="none"/>
              </w:tabs>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10、法规、政策规定由乙方承担的其他责任。</w:t>
            </w:r>
            <w:r/>
          </w:p>
        </w:tc>
      </w:tr>
    </w:tbl>
    <w:p>
      <w:pPr>
        <w:rPr>
          <w:rFonts w:hint="default" w:ascii="Times New Roman" w:hAnsi="Times New Roman" w:cs="Times New Roman"/>
          <w:b/>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Times New Roman" w:hAnsi="Times New Roman" w:cs="Times New Roman"/>
          <w:b/>
          <w:sz w:val="21"/>
          <w:szCs w:val="21"/>
          <w:highlight w:val="none"/>
        </w:rPr>
      </w:r>
      <w:r/>
    </w:p>
    <w:p>
      <w:pPr>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t xml:space="preserve">附件1：</w:t>
      </w:r>
      <w:r/>
    </w:p>
    <w:p>
      <w:pPr>
        <w:jc w:val="center"/>
        <w:rPr>
          <w:rFonts w:hint="default" w:ascii="Times New Roman" w:hAnsi="Times New Roman" w:cs="Times New Roman"/>
          <w:b/>
          <w:sz w:val="28"/>
          <w:szCs w:val="28"/>
          <w:highlight w:val="none"/>
        </w:rPr>
      </w:pPr>
      <w:r>
        <w:rPr>
          <w:rFonts w:hint="default" w:ascii="Times New Roman" w:hAnsi="Times New Roman" w:cs="Times New Roman"/>
          <w:b/>
          <w:sz w:val="28"/>
          <w:szCs w:val="28"/>
          <w:highlight w:val="none"/>
          <w:u w:val="single"/>
        </w:rPr>
        <w:t xml:space="preserve">        </w:t>
      </w:r>
      <w:r>
        <w:rPr>
          <w:rFonts w:hint="default" w:ascii="Times New Roman" w:hAnsi="Times New Roman" w:cs="Times New Roman"/>
          <w:b/>
          <w:sz w:val="28"/>
          <w:szCs w:val="28"/>
          <w:highlight w:val="none"/>
        </w:rPr>
        <w:t xml:space="preserve">年</w:t>
      </w:r>
      <w:r>
        <w:rPr>
          <w:rFonts w:hint="default" w:ascii="Times New Roman" w:hAnsi="Times New Roman" w:cs="Times New Roman"/>
          <w:b/>
          <w:sz w:val="28"/>
          <w:szCs w:val="28"/>
          <w:highlight w:val="none"/>
          <w:u w:val="single"/>
        </w:rPr>
        <w:t xml:space="preserve">    </w:t>
      </w:r>
      <w:r>
        <w:rPr>
          <w:rFonts w:hint="default" w:ascii="Times New Roman" w:hAnsi="Times New Roman" w:cs="Times New Roman"/>
          <w:b/>
          <w:sz w:val="28"/>
          <w:szCs w:val="28"/>
          <w:highlight w:val="none"/>
        </w:rPr>
        <w:t xml:space="preserve">月份</w:t>
      </w:r>
      <w:r>
        <w:rPr>
          <w:rFonts w:hint="default" w:ascii="Times New Roman" w:hAnsi="Times New Roman" w:cs="Times New Roman"/>
          <w:b/>
          <w:sz w:val="28"/>
          <w:szCs w:val="28"/>
          <w:highlight w:val="none"/>
          <w:u w:val="single"/>
        </w:rPr>
        <w:t xml:space="preserve">        </w:t>
      </w:r>
      <w:r>
        <w:rPr>
          <w:rFonts w:hint="default" w:ascii="Times New Roman" w:hAnsi="Times New Roman" w:cs="Times New Roman"/>
          <w:b/>
          <w:sz w:val="28"/>
          <w:szCs w:val="28"/>
          <w:highlight w:val="none"/>
        </w:rPr>
        <w:t xml:space="preserve">学校保安考核表</w:t>
      </w:r>
      <w:r/>
    </w:p>
    <w:tbl>
      <w:tblPr>
        <w:tblStyle w:val="815"/>
        <w:tblW w:w="94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548"/>
        <w:gridCol w:w="2730"/>
        <w:gridCol w:w="2290"/>
        <w:gridCol w:w="778"/>
      </w:tblGrid>
      <w:tr>
        <w:trPr>
          <w:trHeight w:val="567"/>
        </w:trPr>
        <w:tc>
          <w:tcPr>
            <w:gridSpan w:val="2"/>
            <w:tcW w:w="2127" w:type="dxa"/>
            <w:vAlign w:val="center"/>
            <w:textDirection w:val="lrTb"/>
            <w:noWrap w:val="false"/>
          </w:tcPr>
          <w:p>
            <w:pPr>
              <w:jc w:val="center"/>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t xml:space="preserve">保安公司（名称）</w:t>
            </w:r>
            <w:r/>
          </w:p>
        </w:tc>
        <w:tc>
          <w:tcPr>
            <w:gridSpan w:val="4"/>
            <w:tcW w:w="734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r>
            <w:r/>
          </w:p>
        </w:tc>
      </w:tr>
      <w:tr>
        <w:trPr>
          <w:trHeight w:val="567"/>
        </w:trPr>
        <w:tc>
          <w:tcPr>
            <w:tcW w:w="851"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考核指标</w:t>
            </w:r>
            <w:r/>
          </w:p>
        </w:tc>
        <w:tc>
          <w:tcPr>
            <w:tcW w:w="1276"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权重</w:t>
            </w:r>
            <w:r/>
          </w:p>
        </w:tc>
        <w:tc>
          <w:tcPr>
            <w:gridSpan w:val="3"/>
            <w:tcW w:w="6568"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考核内容</w:t>
            </w:r>
            <w:r/>
          </w:p>
        </w:tc>
        <w:tc>
          <w:tcPr>
            <w:tcW w:w="778"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考核得分</w:t>
            </w:r>
            <w:r/>
          </w:p>
        </w:tc>
      </w:tr>
      <w:tr>
        <w:trPr>
          <w:trHeight w:val="567"/>
        </w:trPr>
        <w:tc>
          <w:tcPr>
            <w:tcW w:w="851"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文明礼仪</w:t>
            </w:r>
            <w:r/>
          </w:p>
        </w:tc>
        <w:tc>
          <w:tcPr>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w:t>
            </w:r>
            <w:r/>
          </w:p>
        </w:tc>
        <w:tc>
          <w:tcPr>
            <w:gridSpan w:val="3"/>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上学、放学时段未按规定着装扣2分/次；常规值班时未按规定着装扣1分/次；穿保安服装不整洁扣1分/次；执勤时提倡用站姿，如坐姿不端正、有睡着、躺着等不文雅姿势的扣1分/次；执勤语言不规范或语言污秽扣1分/次；引发矛盾或冲突扣2分/次；言语行为不利于内部团结扣1分/次</w:t>
            </w:r>
            <w:r/>
          </w:p>
        </w:tc>
        <w:tc>
          <w:tcPr>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567"/>
        </w:trPr>
        <w:tc>
          <w:tcPr>
            <w:tcW w:w="851"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问题处理</w:t>
            </w:r>
            <w:r/>
          </w:p>
        </w:tc>
        <w:tc>
          <w:tcPr>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w:t>
            </w:r>
            <w:r/>
          </w:p>
        </w:tc>
        <w:tc>
          <w:tcPr>
            <w:gridSpan w:val="3"/>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发现问题瞒报扣2分/次；发现的问题自己能处理但没有处理，或自己不能处理但未采取相关措施的扣2分/次；导致严重后果的扣5分，并视情节严重程度予以追究责任。</w:t>
            </w:r>
            <w:r/>
          </w:p>
        </w:tc>
        <w:tc>
          <w:tcPr>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567"/>
        </w:trPr>
        <w:tc>
          <w:tcPr>
            <w:tcW w:w="851"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饮酒吸烟</w:t>
            </w:r>
            <w:r/>
          </w:p>
        </w:tc>
        <w:tc>
          <w:tcPr>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w:t>
            </w:r>
            <w:r/>
          </w:p>
        </w:tc>
        <w:tc>
          <w:tcPr>
            <w:gridSpan w:val="3"/>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上班酗酒或醉酒接班扣4分/次。工作时间在学校区域（含门卫）吸烟的扣2分/次。</w:t>
            </w:r>
            <w:r/>
          </w:p>
        </w:tc>
        <w:tc>
          <w:tcPr>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567"/>
        </w:trPr>
        <w:tc>
          <w:tcPr>
            <w:tcW w:w="851"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制度执行</w:t>
            </w:r>
            <w:r/>
          </w:p>
        </w:tc>
        <w:tc>
          <w:tcPr>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w:t>
            </w:r>
            <w:r/>
          </w:p>
        </w:tc>
        <w:tc>
          <w:tcPr>
            <w:gridSpan w:val="3"/>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严格执行保安职责、门卫制度、巡逻制度、交接班制度、值班护导等制度，并做好相应记录，执行不力扣2分/次；导致严重后果扣5分，直至追究责任。</w:t>
            </w:r>
            <w:r/>
          </w:p>
        </w:tc>
        <w:tc>
          <w:tcPr>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567"/>
        </w:trPr>
        <w:tc>
          <w:tcPr>
            <w:tcW w:w="851"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学习培训</w:t>
            </w:r>
            <w:r/>
          </w:p>
        </w:tc>
        <w:tc>
          <w:tcPr>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w:t>
            </w:r>
            <w:r/>
          </w:p>
        </w:tc>
        <w:tc>
          <w:tcPr>
            <w:gridSpan w:val="3"/>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学习、培训、开会等迟到或早退扣1分/次，无记录扣2分/次，旷训、旷会扣3分/次。</w:t>
            </w:r>
            <w:r/>
          </w:p>
        </w:tc>
        <w:tc>
          <w:tcPr>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567"/>
        </w:trPr>
        <w:tc>
          <w:tcPr>
            <w:tcW w:w="851"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作息纪律</w:t>
            </w:r>
            <w:r/>
          </w:p>
        </w:tc>
        <w:tc>
          <w:tcPr>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30</w:t>
            </w:r>
            <w:r/>
          </w:p>
        </w:tc>
        <w:tc>
          <w:tcPr>
            <w:gridSpan w:val="3"/>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上班迟到或早退扣1分/次，擅自离岗、脱岗、串岗、睡岗扣3分/次，旷工一天扣10分，超过两天作自动退职处理，因事请假必须协调好自己的工作，并向学校分管领导请假，否则按旷工处理，擅自离岗导致学校财产损失的负责赔偿，视程度扣5—30分，造成其他后果的承担相关责任。</w:t>
            </w:r>
            <w:r/>
          </w:p>
        </w:tc>
        <w:tc>
          <w:tcPr>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567"/>
        </w:trPr>
        <w:tc>
          <w:tcPr>
            <w:tcW w:w="851"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换岗交班</w:t>
            </w:r>
            <w:r/>
          </w:p>
        </w:tc>
        <w:tc>
          <w:tcPr>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p>
        </w:tc>
        <w:tc>
          <w:tcPr>
            <w:gridSpan w:val="3"/>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按时交接班，无交接班记录扣1分/次。</w:t>
            </w:r>
            <w:r/>
          </w:p>
        </w:tc>
        <w:tc>
          <w:tcPr>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567"/>
        </w:trPr>
        <w:tc>
          <w:tcPr>
            <w:tcW w:w="851"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巡逻监控</w:t>
            </w:r>
            <w:r/>
          </w:p>
        </w:tc>
        <w:tc>
          <w:tcPr>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w:t>
            </w:r>
            <w:r/>
          </w:p>
        </w:tc>
        <w:tc>
          <w:tcPr>
            <w:gridSpan w:val="3"/>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不按学校规定进行巡逻检查扣2分/次，无记录视为没巡查，加强视频监控管理，视频监控出现故障时，要及时报告相关部门检查维修，视频监控出现故障未报修扣2分/次。出现校园失窃，视损失程度扣5—10分。</w:t>
            </w:r>
            <w:r/>
          </w:p>
        </w:tc>
        <w:tc>
          <w:tcPr>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567"/>
        </w:trPr>
        <w:tc>
          <w:tcPr>
            <w:tcW w:w="851"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设备管理</w:t>
            </w:r>
            <w:r/>
          </w:p>
        </w:tc>
        <w:tc>
          <w:tcPr>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w:t>
            </w:r>
            <w:r/>
          </w:p>
        </w:tc>
        <w:tc>
          <w:tcPr>
            <w:gridSpan w:val="3"/>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妥善保管保安器械，丢失照价赔偿，扣1—4分，摆放、管理不规范扣1分/次，擅自将保安设备为私人使用扣4分/次， 做出违法行为的追究相关责任。</w:t>
            </w:r>
            <w:r/>
          </w:p>
        </w:tc>
        <w:tc>
          <w:tcPr>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567"/>
        </w:trPr>
        <w:tc>
          <w:tcPr>
            <w:tcW w:w="851"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服从安排</w:t>
            </w:r>
            <w:r/>
          </w:p>
        </w:tc>
        <w:tc>
          <w:tcPr>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w:t>
            </w:r>
            <w:r/>
          </w:p>
        </w:tc>
        <w:tc>
          <w:tcPr>
            <w:gridSpan w:val="3"/>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对校领导安排的其它工作乐于接受，保质保量按时完成，拒绝或者未能保质按时完成扣2分/次，因未及时完成造成严重后果的扣5分/次，并承担相应责任。</w:t>
            </w:r>
            <w:r/>
          </w:p>
        </w:tc>
        <w:tc>
          <w:tcPr>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567"/>
        </w:trPr>
        <w:tc>
          <w:tcPr>
            <w:shd w:val="clear" w:color="auto" w:fill="e6e6e6"/>
            <w:tcW w:w="851"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加减分</w:t>
            </w:r>
            <w:r/>
          </w:p>
        </w:tc>
        <w:tc>
          <w:tcPr>
            <w:shd w:val="clear" w:color="auto" w:fill="e6e6e6"/>
            <w:tcW w:w="127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w:t>
            </w:r>
            <w:r/>
          </w:p>
        </w:tc>
        <w:tc>
          <w:tcPr>
            <w:gridSpan w:val="3"/>
            <w:shd w:val="clear" w:color="auto" w:fill="e6e6e6"/>
            <w:tcW w:w="6568"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保安工作出色，得到学校或上级表扬，加2分/次，每月最多加6分。保安工作失误，受到学校或上级批评，扣5分/次，受到两次及以上批评的，相关责任人予以辞退。</w:t>
            </w:r>
            <w:r/>
          </w:p>
        </w:tc>
        <w:tc>
          <w:tcPr>
            <w:shd w:val="clear" w:color="auto" w:fill="e6e6e6"/>
            <w:tcW w:w="778"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cantSplit/>
          <w:trHeight w:val="567"/>
        </w:trPr>
        <w:tc>
          <w:tcPr>
            <w:tcW w:w="851" w:type="dxa"/>
            <w:vAlign w:val="center"/>
            <w:vMerge w:val="restart"/>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考核结果</w:t>
            </w:r>
            <w:r/>
          </w:p>
        </w:tc>
        <w:tc>
          <w:tcPr>
            <w:gridSpan w:val="2"/>
            <w:tcW w:w="2824" w:type="dxa"/>
            <w:vAlign w:val="center"/>
            <w:textDirection w:val="lrTb"/>
            <w:noWrap w:val="false"/>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考核分</w:t>
            </w:r>
            <w:r/>
          </w:p>
        </w:tc>
        <w:tc>
          <w:tcPr>
            <w:tcW w:w="2730" w:type="dxa"/>
            <w:vAlign w:val="center"/>
            <w:textDirection w:val="lrTb"/>
            <w:noWrap w:val="false"/>
          </w:tcPr>
          <w:p>
            <w:pPr>
              <w:jc w:val="center"/>
              <w:widowControl/>
              <w:rPr>
                <w:rFonts w:hint="default" w:ascii="Times New Roman" w:hAnsi="Times New Roman" w:cs="Times New Roman"/>
                <w:b/>
                <w:sz w:val="18"/>
                <w:szCs w:val="18"/>
                <w:highlight w:val="none"/>
              </w:rPr>
            </w:pPr>
            <w:r>
              <w:rPr>
                <w:rFonts w:hint="default" w:ascii="Times New Roman" w:hAnsi="Times New Roman" w:cs="Times New Roman"/>
                <w:b/>
                <w:sz w:val="18"/>
                <w:szCs w:val="18"/>
                <w:highlight w:val="none"/>
              </w:rPr>
              <w:t xml:space="preserve">加减分</w:t>
            </w:r>
            <w:r/>
          </w:p>
        </w:tc>
        <w:tc>
          <w:tcPr>
            <w:gridSpan w:val="2"/>
            <w:tcW w:w="3068" w:type="dxa"/>
            <w:vAlign w:val="center"/>
            <w:textDirection w:val="lrTb"/>
            <w:noWrap w:val="false"/>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总得分</w:t>
            </w:r>
            <w:r/>
          </w:p>
        </w:tc>
      </w:tr>
      <w:tr>
        <w:trPr>
          <w:cantSplit/>
          <w:trHeight w:val="567"/>
        </w:trPr>
        <w:tc>
          <w:tcPr>
            <w:tcW w:w="851" w:type="dxa"/>
            <w:vAlign w:val="center"/>
            <w:vMerge w:val="continue"/>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gridSpan w:val="2"/>
            <w:tcW w:w="2824" w:type="dxa"/>
            <w:vAlign w:val="center"/>
            <w:textDirection w:val="lrTb"/>
            <w:noWrap w:val="false"/>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W w:w="2730" w:type="dxa"/>
            <w:vAlign w:val="center"/>
            <w:textDirection w:val="lrTb"/>
            <w:noWrap w:val="false"/>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gridSpan w:val="2"/>
            <w:tcW w:w="3068" w:type="dxa"/>
            <w:vAlign w:val="center"/>
            <w:textDirection w:val="lrTb"/>
            <w:noWrap w:val="false"/>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r>
    </w:tbl>
    <w:p>
      <w:pPr>
        <w:pStyle w:val="1094"/>
        <w:ind w:firstLine="0"/>
        <w:spacing w:before="156" w:line="360" w:lineRule="auto"/>
        <w:rPr>
          <w:rFonts w:hint="default" w:ascii="Times New Roman" w:hAnsi="Times New Roman" w:cs="Times New Roman"/>
          <w:sz w:val="21"/>
          <w:szCs w:val="21"/>
          <w:highlight w:val="none"/>
          <w:lang w:val="en-US"/>
        </w:rPr>
      </w:pPr>
      <w:r>
        <w:rPr>
          <w:rFonts w:hint="default" w:ascii="Times New Roman" w:hAnsi="Times New Roman" w:cs="Times New Roman"/>
          <w:sz w:val="21"/>
          <w:szCs w:val="21"/>
          <w:highlight w:val="none"/>
          <w:lang w:val="en-US"/>
        </w:rPr>
        <w:t xml:space="preserve">考核人（签字）                                                日期：      年   月    日</w:t>
      </w:r>
      <w:r/>
    </w:p>
    <w:p>
      <w:pPr>
        <w:ind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sectPr>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宋体ラ...">
    <w:panose1 w:val="02010600030101010101"/>
  </w:font>
  <w:font w:name="仿宋_GB2312">
    <w:panose1 w:val="02010609060101010101"/>
  </w:font>
  <w:font w:name="Verdana">
    <w:panose1 w:val="020B0604030504040204"/>
  </w:font>
  <w:font w:name="黑体">
    <w:panose1 w:val="02010609060101010101"/>
  </w:font>
  <w:font w:name="Courier New">
    <w:panose1 w:val="02070309020205020404"/>
  </w:font>
  <w:font w:name="Helvetica Neue">
    <w:panose1 w:val="020B05030202020202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jc w:val="center"/>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jc w:val="center"/>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v:textbox>
            </v:shape>
          </w:pict>
        </mc:Fallback>
      </mc:AlternateContent>
    </w:r>
    <w:r/>
  </w:p>
  <w:p>
    <w:pPr>
      <w:pStyle w:val="821"/>
      <w:ind w:left="0"/>
      <w:spacing w:before="0" w:line="14" w:lineRule="auto"/>
      <w:rPr>
        <w:rFonts w:ascii="Times New Roman" w:eastAsia="等线"/>
        <w:szCs w:val="20"/>
      </w:rPr>
    </w:pPr>
    <w:r>
      <w:rPr>
        <w:rFonts w:ascii="Times New Roman" w:eastAsia="等线"/>
        <w:szCs w:val="20"/>
      </w:rPr>
    </w:r>
    <w:r/>
  </w:p>
  <w:p>
    <w:pPr>
      <w:pStyle w:val="821"/>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31"/>
                            <w:jc w:val="center"/>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31"/>
                      <w:jc w:val="center"/>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849"/>
      </w:rPr>
      <w:framePr w:wrap="around" w:vAnchor="text" w:hAnchor="margin" w:xAlign="center" w:y="1"/>
    </w:pPr>
    <w:r>
      <w:fldChar w:fldCharType="begin"/>
    </w:r>
    <w:r>
      <w:rPr>
        <w:rStyle w:val="849"/>
      </w:rPr>
      <w:instrText xml:space="preserve">PAGE  </w:instrText>
    </w:r>
    <w:r>
      <w:fldChar w:fldCharType="separate"/>
    </w:r>
    <w:r>
      <w:rPr>
        <w:rStyle w:val="849"/>
      </w:rPr>
      <w:t xml:space="preserve">61</w:t>
    </w:r>
    <w:r>
      <w:fldChar w:fldCharType="end"/>
    </w:r>
    <w:r/>
  </w:p>
  <w:p>
    <w:pPr>
      <w:pStyle w:val="8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2008" w:hanging="360"/>
      </w:pPr>
      <w:rPr>
        <w:rFonts w:hint="default" w:ascii="Courier New" w:hAnsi="Courier New" w:eastAsia="Courier New" w:cs="Courier New"/>
      </w:rPr>
    </w:lvl>
    <w:lvl w:ilvl="2">
      <w:start w:val="1"/>
      <w:numFmt w:val="bullet"/>
      <w:isLgl w:val="false"/>
      <w:suff w:val="tab"/>
      <w:lvlText w:val="§"/>
      <w:lvlJc w:val="left"/>
      <w:pPr>
        <w:ind w:left="2728" w:hanging="360"/>
      </w:pPr>
      <w:rPr>
        <w:rFonts w:hint="default" w:ascii="Wingdings" w:hAnsi="Wingdings" w:eastAsia="Wingdings" w:cs="Wingdings"/>
      </w:rPr>
    </w:lvl>
    <w:lvl w:ilvl="3">
      <w:start w:val="1"/>
      <w:numFmt w:val="bullet"/>
      <w:isLgl w:val="false"/>
      <w:suff w:val="tab"/>
      <w:lvlText w:val="·"/>
      <w:lvlJc w:val="left"/>
      <w:pPr>
        <w:ind w:left="3448" w:hanging="360"/>
      </w:pPr>
      <w:rPr>
        <w:rFonts w:hint="default" w:ascii="Symbol" w:hAnsi="Symbol" w:eastAsia="Symbol" w:cs="Symbol"/>
      </w:rPr>
    </w:lvl>
    <w:lvl w:ilvl="4">
      <w:start w:val="1"/>
      <w:numFmt w:val="bullet"/>
      <w:isLgl w:val="false"/>
      <w:suff w:val="tab"/>
      <w:lvlText w:val="o"/>
      <w:lvlJc w:val="left"/>
      <w:pPr>
        <w:ind w:left="4168" w:hanging="360"/>
      </w:pPr>
      <w:rPr>
        <w:rFonts w:hint="default" w:ascii="Courier New" w:hAnsi="Courier New" w:eastAsia="Courier New" w:cs="Courier New"/>
      </w:rPr>
    </w:lvl>
    <w:lvl w:ilvl="5">
      <w:start w:val="1"/>
      <w:numFmt w:val="bullet"/>
      <w:isLgl w:val="false"/>
      <w:suff w:val="tab"/>
      <w:lvlText w:val="§"/>
      <w:lvlJc w:val="left"/>
      <w:pPr>
        <w:ind w:left="4888" w:hanging="360"/>
      </w:pPr>
      <w:rPr>
        <w:rFonts w:hint="default" w:ascii="Wingdings" w:hAnsi="Wingdings" w:eastAsia="Wingdings" w:cs="Wingdings"/>
      </w:rPr>
    </w:lvl>
    <w:lvl w:ilvl="6">
      <w:start w:val="1"/>
      <w:numFmt w:val="bullet"/>
      <w:isLgl w:val="false"/>
      <w:suff w:val="tab"/>
      <w:lvlText w:val="·"/>
      <w:lvlJc w:val="left"/>
      <w:pPr>
        <w:ind w:left="5608" w:hanging="360"/>
      </w:pPr>
      <w:rPr>
        <w:rFonts w:hint="default" w:ascii="Symbol" w:hAnsi="Symbol" w:eastAsia="Symbol" w:cs="Symbol"/>
      </w:rPr>
    </w:lvl>
    <w:lvl w:ilvl="7">
      <w:start w:val="1"/>
      <w:numFmt w:val="bullet"/>
      <w:isLgl w:val="false"/>
      <w:suff w:val="tab"/>
      <w:lvlText w:val="o"/>
      <w:lvlJc w:val="left"/>
      <w:pPr>
        <w:ind w:left="6328" w:hanging="360"/>
      </w:pPr>
      <w:rPr>
        <w:rFonts w:hint="default" w:ascii="Courier New" w:hAnsi="Courier New" w:eastAsia="Courier New" w:cs="Courier New"/>
      </w:rPr>
    </w:lvl>
    <w:lvl w:ilvl="8">
      <w:start w:val="1"/>
      <w:numFmt w:val="bullet"/>
      <w:isLgl w:val="false"/>
      <w:suff w:val="tab"/>
      <w:lvlText w:val="§"/>
      <w:lvlJc w:val="left"/>
      <w:pPr>
        <w:ind w:left="7048"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8"/>
  </w:num>
  <w:num w:numId="4">
    <w:abstractNumId w:val="1"/>
  </w:num>
  <w:num w:numId="5">
    <w:abstractNumId w:val="7"/>
  </w:num>
  <w:num w:numId="6">
    <w:abstractNumId w:val="2"/>
  </w:num>
  <w:num w:numId="7">
    <w:abstractNumId w:val="0"/>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uiPriority w:val="1"/>
    <w:qFormat/>
    <w:pPr>
      <w:widowControl w:val="off"/>
    </w:pPr>
    <w:rPr>
      <w:rFonts w:hint="default" w:ascii="宋体" w:hAnsi="Times New Roman" w:eastAsia="宋体" w:cs="宋体"/>
      <w:sz w:val="22"/>
      <w:szCs w:val="22"/>
      <w:lang w:val="en-US" w:eastAsia="zh-CN" w:bidi="ar-SA"/>
    </w:rPr>
  </w:style>
  <w:style w:type="paragraph" w:styleId="805">
    <w:name w:val="Heading 1"/>
    <w:basedOn w:val="804"/>
    <w:next w:val="804"/>
    <w:link w:val="1034"/>
    <w:uiPriority w:val="1"/>
    <w:qFormat/>
    <w:pPr>
      <w:ind w:right="406"/>
      <w:jc w:val="center"/>
      <w:outlineLvl w:val="0"/>
    </w:pPr>
    <w:rPr>
      <w:rFonts w:cs="Times New Roman"/>
      <w:b/>
      <w:bCs/>
      <w:sz w:val="72"/>
      <w:szCs w:val="72"/>
    </w:rPr>
  </w:style>
  <w:style w:type="paragraph" w:styleId="806">
    <w:name w:val="Heading 2"/>
    <w:basedOn w:val="804"/>
    <w:next w:val="804"/>
    <w:link w:val="1035"/>
    <w:uiPriority w:val="1"/>
    <w:qFormat/>
    <w:pPr>
      <w:ind w:left="2791"/>
      <w:spacing w:before="26"/>
      <w:outlineLvl w:val="1"/>
    </w:pPr>
    <w:rPr>
      <w:rFonts w:cs="Times New Roman"/>
      <w:b/>
      <w:bCs/>
      <w:sz w:val="44"/>
      <w:szCs w:val="44"/>
    </w:rPr>
  </w:style>
  <w:style w:type="paragraph" w:styleId="807">
    <w:name w:val="Heading 3"/>
    <w:basedOn w:val="804"/>
    <w:next w:val="804"/>
    <w:link w:val="1036"/>
    <w:uiPriority w:val="1"/>
    <w:qFormat/>
    <w:pPr>
      <w:ind w:left="909"/>
      <w:spacing w:before="1"/>
      <w:outlineLvl w:val="2"/>
    </w:pPr>
    <w:rPr>
      <w:rFonts w:cs="Times New Roman"/>
      <w:b/>
      <w:bCs/>
      <w:sz w:val="36"/>
      <w:szCs w:val="36"/>
    </w:rPr>
  </w:style>
  <w:style w:type="paragraph" w:styleId="808">
    <w:name w:val="Heading 4"/>
    <w:basedOn w:val="804"/>
    <w:next w:val="804"/>
    <w:link w:val="854"/>
    <w:uiPriority w:val="1"/>
    <w:qFormat/>
    <w:pPr>
      <w:outlineLvl w:val="3"/>
    </w:pPr>
    <w:rPr>
      <w:rFonts w:cs="Times New Roman"/>
      <w:b/>
      <w:bCs/>
      <w:sz w:val="32"/>
      <w:szCs w:val="32"/>
    </w:rPr>
  </w:style>
  <w:style w:type="paragraph" w:styleId="809">
    <w:name w:val="Heading 5"/>
    <w:basedOn w:val="804"/>
    <w:next w:val="804"/>
    <w:link w:val="1037"/>
    <w:uiPriority w:val="1"/>
    <w:qFormat/>
    <w:pPr>
      <w:ind w:left="847"/>
      <w:outlineLvl w:val="4"/>
    </w:pPr>
    <w:rPr>
      <w:rFonts w:cs="Times New Roman"/>
      <w:sz w:val="24"/>
      <w:szCs w:val="24"/>
    </w:rPr>
  </w:style>
  <w:style w:type="paragraph" w:styleId="810">
    <w:name w:val="Heading 6"/>
    <w:basedOn w:val="804"/>
    <w:next w:val="804"/>
    <w:link w:val="1038"/>
    <w:uiPriority w:val="1"/>
    <w:qFormat/>
    <w:pPr>
      <w:ind w:left="367"/>
      <w:outlineLvl w:val="5"/>
    </w:pPr>
    <w:rPr>
      <w:rFonts w:cs="Times New Roman"/>
      <w:b/>
      <w:bCs/>
      <w:sz w:val="20"/>
      <w:szCs w:val="21"/>
    </w:rPr>
  </w:style>
  <w:style w:type="paragraph" w:styleId="811">
    <w:name w:val="Heading 7"/>
    <w:basedOn w:val="804"/>
    <w:next w:val="804"/>
    <w:link w:val="911"/>
    <w:uiPriority w:val="9"/>
    <w:unhideWhenUsed/>
    <w:qFormat/>
    <w:pPr>
      <w:keepLines/>
      <w:keepNext/>
      <w:spacing w:before="320" w:after="200"/>
      <w:outlineLvl w:val="6"/>
    </w:pPr>
    <w:rPr>
      <w:rFonts w:ascii="Arial" w:hAnsi="Arial" w:eastAsia="Arial" w:cs="Arial"/>
      <w:b/>
      <w:bCs/>
      <w:i/>
      <w:iCs/>
    </w:rPr>
  </w:style>
  <w:style w:type="paragraph" w:styleId="812">
    <w:name w:val="Heading 8"/>
    <w:basedOn w:val="804"/>
    <w:next w:val="804"/>
    <w:link w:val="912"/>
    <w:uiPriority w:val="9"/>
    <w:unhideWhenUsed/>
    <w:qFormat/>
    <w:pPr>
      <w:keepLines/>
      <w:keepNext/>
      <w:spacing w:before="320" w:after="200"/>
      <w:outlineLvl w:val="7"/>
    </w:pPr>
    <w:rPr>
      <w:rFonts w:ascii="Arial" w:hAnsi="Arial" w:eastAsia="Arial" w:cs="Arial"/>
      <w:i/>
      <w:iCs/>
    </w:rPr>
  </w:style>
  <w:style w:type="paragraph" w:styleId="813">
    <w:name w:val="Heading 9"/>
    <w:basedOn w:val="804"/>
    <w:next w:val="804"/>
    <w:link w:val="913"/>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39"/>
    <w:unhideWhenUsed/>
    <w:qFormat/>
    <w:pPr>
      <w:ind w:left="1701"/>
      <w:spacing w:after="57"/>
    </w:pPr>
  </w:style>
  <w:style w:type="paragraph" w:styleId="817">
    <w:name w:val="Normal Indent"/>
    <w:basedOn w:val="804"/>
    <w:link w:val="1039"/>
    <w:uiPriority w:val="0"/>
    <w:qFormat/>
    <w:pPr>
      <w:ind w:firstLine="420"/>
    </w:pPr>
    <w:rPr>
      <w:rFonts w:ascii="Times New Roman" w:eastAsia="楷体_GB2312" w:cs="Times New Roman"/>
      <w:sz w:val="21"/>
      <w:szCs w:val="20"/>
    </w:rPr>
  </w:style>
  <w:style w:type="paragraph" w:styleId="818">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9">
    <w:name w:val="Document Map"/>
    <w:basedOn w:val="804"/>
    <w:link w:val="1040"/>
    <w:uiPriority w:val="99"/>
    <w:qFormat/>
    <w:pPr>
      <w:widowControl/>
      <w:framePr w:wrap="around" w:vAnchor="margin" w:hAnchor="text" w:y="1"/>
    </w:pPr>
    <w:rPr>
      <w:rFonts w:eastAsia="Arial Unicode MS" w:cs="Times New Roman"/>
      <w:sz w:val="18"/>
      <w:szCs w:val="18"/>
      <w:lang w:eastAsia="en-US"/>
    </w:rPr>
  </w:style>
  <w:style w:type="paragraph" w:styleId="820">
    <w:name w:val="annotation text"/>
    <w:basedOn w:val="804"/>
    <w:link w:val="1041"/>
    <w:uiPriority w:val="0"/>
    <w:qFormat/>
    <w:rPr>
      <w:rFonts w:ascii="Calibri" w:hAnsi="Calibri" w:cs="Times New Roman"/>
      <w:sz w:val="20"/>
      <w:szCs w:val="20"/>
    </w:rPr>
  </w:style>
  <w:style w:type="paragraph" w:styleId="821">
    <w:name w:val="Body Text"/>
    <w:basedOn w:val="804"/>
    <w:link w:val="1042"/>
    <w:uiPriority w:val="99"/>
    <w:qFormat/>
    <w:pPr>
      <w:ind w:left="367"/>
      <w:spacing w:before="132"/>
    </w:pPr>
    <w:rPr>
      <w:rFonts w:cs="Times New Roman"/>
      <w:sz w:val="20"/>
      <w:szCs w:val="21"/>
    </w:rPr>
  </w:style>
  <w:style w:type="paragraph" w:styleId="822">
    <w:name w:val="Body Text Indent"/>
    <w:basedOn w:val="804"/>
    <w:next w:val="804"/>
    <w:link w:val="1043"/>
    <w:uiPriority w:val="99"/>
    <w:unhideWhenUsed/>
    <w:qFormat/>
    <w:pPr>
      <w:ind w:left="420"/>
      <w:spacing w:after="120"/>
    </w:pPr>
    <w:rPr>
      <w:rFonts w:cs="Times New Roman"/>
      <w:szCs w:val="20"/>
    </w:rPr>
  </w:style>
  <w:style w:type="paragraph" w:styleId="823">
    <w:name w:val="index 4"/>
    <w:basedOn w:val="804"/>
    <w:next w:val="804"/>
    <w:uiPriority w:val="0"/>
    <w:semiHidden/>
    <w:qFormat/>
    <w:pPr>
      <w:ind w:left="600"/>
      <w:jc w:val="both"/>
    </w:pPr>
    <w:rPr>
      <w:rFonts w:ascii="Calibri" w:hAnsi="Calibri"/>
      <w:sz w:val="21"/>
      <w:szCs w:val="20"/>
    </w:rPr>
  </w:style>
  <w:style w:type="paragraph" w:styleId="824">
    <w:name w:val="toc 5"/>
    <w:basedOn w:val="804"/>
    <w:next w:val="804"/>
    <w:uiPriority w:val="39"/>
    <w:unhideWhenUsed/>
    <w:qFormat/>
    <w:pPr>
      <w:ind w:left="1134"/>
      <w:spacing w:after="57"/>
    </w:pPr>
  </w:style>
  <w:style w:type="paragraph" w:styleId="825">
    <w:name w:val="toc 3"/>
    <w:basedOn w:val="804"/>
    <w:next w:val="804"/>
    <w:uiPriority w:val="39"/>
    <w:unhideWhenUsed/>
    <w:qFormat/>
    <w:pPr>
      <w:ind w:left="567"/>
      <w:spacing w:after="57"/>
    </w:pPr>
  </w:style>
  <w:style w:type="paragraph" w:styleId="826">
    <w:name w:val="Plain Text"/>
    <w:basedOn w:val="804"/>
    <w:link w:val="1095"/>
    <w:uiPriority w:val="0"/>
    <w:qFormat/>
    <w:pPr>
      <w:jc w:val="both"/>
    </w:pPr>
    <w:rPr>
      <w:rFonts w:hAnsi="Courier New" w:eastAsia="楷体_GB2312" w:cs="Times New Roman"/>
      <w:sz w:val="26"/>
      <w:szCs w:val="20"/>
    </w:rPr>
  </w:style>
  <w:style w:type="paragraph" w:styleId="827">
    <w:name w:val="toc 8"/>
    <w:basedOn w:val="804"/>
    <w:next w:val="804"/>
    <w:uiPriority w:val="39"/>
    <w:unhideWhenUsed/>
    <w:qFormat/>
    <w:pPr>
      <w:ind w:left="1984"/>
      <w:spacing w:after="57"/>
    </w:pPr>
  </w:style>
  <w:style w:type="paragraph" w:styleId="828">
    <w:name w:val="Date"/>
    <w:basedOn w:val="804"/>
    <w:next w:val="804"/>
    <w:link w:val="1045"/>
    <w:uiPriority w:val="99"/>
    <w:unhideWhenUsed/>
    <w:qFormat/>
    <w:pPr>
      <w:ind w:left="100"/>
    </w:pPr>
    <w:rPr>
      <w:rFonts w:cs="Times New Roman"/>
    </w:rPr>
  </w:style>
  <w:style w:type="paragraph" w:styleId="829">
    <w:name w:val="endnote text"/>
    <w:basedOn w:val="804"/>
    <w:link w:val="1032"/>
    <w:uiPriority w:val="99"/>
    <w:semiHidden/>
    <w:unhideWhenUsed/>
    <w:qFormat/>
    <w:rPr>
      <w:sz w:val="20"/>
    </w:rPr>
  </w:style>
  <w:style w:type="paragraph" w:styleId="830">
    <w:name w:val="Balloon Text"/>
    <w:basedOn w:val="804"/>
    <w:link w:val="1111"/>
    <w:uiPriority w:val="99"/>
    <w:semiHidden/>
    <w:unhideWhenUsed/>
    <w:qFormat/>
    <w:rPr>
      <w:sz w:val="18"/>
      <w:szCs w:val="18"/>
    </w:rPr>
  </w:style>
  <w:style w:type="paragraph" w:styleId="831">
    <w:name w:val="Footer"/>
    <w:basedOn w:val="804"/>
    <w:link w:val="1046"/>
    <w:uiPriority w:val="99"/>
    <w:unhideWhenUsed/>
    <w:qFormat/>
    <w:pPr>
      <w:tabs>
        <w:tab w:val="center" w:pos="4153" w:leader="none"/>
        <w:tab w:val="right" w:pos="8306" w:leader="none"/>
      </w:tabs>
    </w:pPr>
    <w:rPr>
      <w:rFonts w:cs="Times New Roman"/>
      <w:sz w:val="18"/>
      <w:szCs w:val="18"/>
    </w:rPr>
  </w:style>
  <w:style w:type="paragraph" w:styleId="832">
    <w:name w:val="Header"/>
    <w:basedOn w:val="804"/>
    <w:link w:val="104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33">
    <w:name w:val="toc 1"/>
    <w:basedOn w:val="804"/>
    <w:next w:val="804"/>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34">
    <w:name w:val="toc 4"/>
    <w:basedOn w:val="804"/>
    <w:next w:val="804"/>
    <w:uiPriority w:val="39"/>
    <w:unhideWhenUsed/>
    <w:qFormat/>
    <w:pPr>
      <w:ind w:left="850"/>
      <w:spacing w:after="57"/>
    </w:pPr>
  </w:style>
  <w:style w:type="paragraph" w:styleId="835">
    <w:name w:val="Subtitle"/>
    <w:basedOn w:val="804"/>
    <w:next w:val="804"/>
    <w:link w:val="917"/>
    <w:uiPriority w:val="11"/>
    <w:qFormat/>
    <w:pPr>
      <w:spacing w:before="200" w:after="200"/>
    </w:pPr>
    <w:rPr>
      <w:sz w:val="24"/>
      <w:szCs w:val="24"/>
    </w:rPr>
  </w:style>
  <w:style w:type="paragraph" w:styleId="836">
    <w:name w:val="footnote text"/>
    <w:basedOn w:val="804"/>
    <w:link w:val="1031"/>
    <w:uiPriority w:val="99"/>
    <w:semiHidden/>
    <w:unhideWhenUsed/>
    <w:qFormat/>
    <w:pPr>
      <w:spacing w:after="40"/>
    </w:pPr>
    <w:rPr>
      <w:sz w:val="18"/>
    </w:rPr>
  </w:style>
  <w:style w:type="paragraph" w:styleId="837">
    <w:name w:val="toc 6"/>
    <w:basedOn w:val="804"/>
    <w:next w:val="804"/>
    <w:uiPriority w:val="39"/>
    <w:unhideWhenUsed/>
    <w:qFormat/>
    <w:pPr>
      <w:ind w:left="1417"/>
      <w:spacing w:after="57"/>
    </w:pPr>
  </w:style>
  <w:style w:type="paragraph" w:styleId="838">
    <w:name w:val="Body Text Indent 3"/>
    <w:basedOn w:val="804"/>
    <w:link w:val="1048"/>
    <w:uiPriority w:val="99"/>
    <w:unhideWhenUsed/>
    <w:qFormat/>
    <w:pPr>
      <w:ind w:left="420"/>
      <w:spacing w:after="120"/>
    </w:pPr>
    <w:rPr>
      <w:rFonts w:cs="Times New Roman"/>
      <w:sz w:val="16"/>
      <w:szCs w:val="16"/>
    </w:rPr>
  </w:style>
  <w:style w:type="paragraph" w:styleId="839">
    <w:name w:val="table of figures"/>
    <w:basedOn w:val="804"/>
    <w:next w:val="804"/>
    <w:uiPriority w:val="99"/>
    <w:unhideWhenUsed/>
    <w:qFormat/>
  </w:style>
  <w:style w:type="paragraph" w:styleId="840">
    <w:name w:val="toc 2"/>
    <w:basedOn w:val="804"/>
    <w:next w:val="804"/>
    <w:uiPriority w:val="39"/>
    <w:unhideWhenUsed/>
    <w:qFormat/>
    <w:pPr>
      <w:ind w:left="283"/>
      <w:spacing w:after="57"/>
    </w:pPr>
  </w:style>
  <w:style w:type="paragraph" w:styleId="841">
    <w:name w:val="toc 9"/>
    <w:basedOn w:val="804"/>
    <w:next w:val="804"/>
    <w:uiPriority w:val="39"/>
    <w:unhideWhenUsed/>
    <w:qFormat/>
    <w:pPr>
      <w:ind w:left="2268"/>
      <w:spacing w:after="57"/>
    </w:pPr>
  </w:style>
  <w:style w:type="paragraph" w:styleId="842">
    <w:name w:val="Normal (Web)"/>
    <w:basedOn w:val="804"/>
    <w:next w:val="804"/>
    <w:link w:val="1049"/>
    <w:uiPriority w:val="0"/>
    <w:qFormat/>
    <w:pPr>
      <w:jc w:val="both"/>
    </w:pPr>
    <w:rPr>
      <w:rFonts w:ascii="Times New Roman" w:cs="Times New Roman"/>
      <w:sz w:val="24"/>
      <w:szCs w:val="21"/>
    </w:rPr>
  </w:style>
  <w:style w:type="paragraph" w:styleId="843">
    <w:name w:val="Title"/>
    <w:basedOn w:val="804"/>
    <w:next w:val="804"/>
    <w:link w:val="916"/>
    <w:uiPriority w:val="10"/>
    <w:qFormat/>
    <w:pPr>
      <w:contextualSpacing/>
      <w:spacing w:before="300" w:after="200"/>
    </w:pPr>
    <w:rPr>
      <w:sz w:val="48"/>
      <w:szCs w:val="48"/>
    </w:rPr>
  </w:style>
  <w:style w:type="paragraph" w:styleId="844">
    <w:name w:val="annotation subject"/>
    <w:basedOn w:val="820"/>
    <w:next w:val="820"/>
    <w:link w:val="1050"/>
    <w:uiPriority w:val="99"/>
    <w:unhideWhenUsed/>
    <w:qFormat/>
    <w:rPr>
      <w:rFonts w:ascii="宋体" w:hAnsi="Times New Roman"/>
      <w:b/>
      <w:bCs/>
      <w:sz w:val="22"/>
      <w:szCs w:val="22"/>
    </w:rPr>
  </w:style>
  <w:style w:type="paragraph" w:styleId="845">
    <w:name w:val="Body Text First Indent 2"/>
    <w:basedOn w:val="822"/>
    <w:link w:val="1112"/>
    <w:uiPriority w:val="99"/>
    <w:semiHidden/>
    <w:unhideWhenUsed/>
    <w:qFormat/>
    <w:pPr>
      <w:ind w:left="200" w:firstLine="420"/>
    </w:pPr>
    <w:rPr>
      <w:rFonts w:cs="宋体"/>
      <w:szCs w:val="22"/>
    </w:rPr>
  </w:style>
  <w:style w:type="table" w:styleId="846">
    <w:name w:val="Table Grid"/>
    <w:basedOn w:val="8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name w:val="Strong"/>
    <w:uiPriority w:val="22"/>
    <w:qFormat/>
    <w:rPr>
      <w:b/>
    </w:rPr>
  </w:style>
  <w:style w:type="character" w:styleId="848">
    <w:name w:val="endnote reference"/>
    <w:uiPriority w:val="99"/>
    <w:semiHidden/>
    <w:unhideWhenUsed/>
    <w:qFormat/>
    <w:rPr>
      <w:vertAlign w:val="superscript"/>
    </w:rPr>
  </w:style>
  <w:style w:type="character" w:styleId="849">
    <w:name w:val="page number"/>
    <w:uiPriority w:val="0"/>
    <w:qFormat/>
  </w:style>
  <w:style w:type="character" w:styleId="850">
    <w:name w:val="HTML Typewriter"/>
    <w:uiPriority w:val="0"/>
    <w:qFormat/>
    <w:rPr>
      <w:rFonts w:ascii="黑体" w:hAnsi="Courier New" w:eastAsia="黑体" w:cs="Courier New"/>
      <w:sz w:val="14"/>
      <w:szCs w:val="14"/>
      <w:lang w:val="en-US" w:eastAsia="zh-CN" w:bidi="ar-SA"/>
    </w:rPr>
  </w:style>
  <w:style w:type="character" w:styleId="851">
    <w:name w:val="Hyperlink"/>
    <w:uiPriority w:val="99"/>
    <w:unhideWhenUsed/>
    <w:qFormat/>
    <w:rPr>
      <w:color w:val="0563c1"/>
      <w:u w:val="single"/>
    </w:rPr>
  </w:style>
  <w:style w:type="character" w:styleId="852">
    <w:name w:val="annotation reference"/>
    <w:uiPriority w:val="99"/>
    <w:unhideWhenUsed/>
    <w:qFormat/>
    <w:rPr>
      <w:sz w:val="21"/>
      <w:szCs w:val="21"/>
    </w:rPr>
  </w:style>
  <w:style w:type="character" w:styleId="853">
    <w:name w:val="footnote reference"/>
    <w:uiPriority w:val="99"/>
    <w:unhideWhenUsed/>
    <w:qFormat/>
    <w:rPr>
      <w:vertAlign w:val="superscript"/>
    </w:rPr>
  </w:style>
  <w:style w:type="character" w:styleId="854" w:customStyle="1">
    <w:name w:val="标题 4 字符"/>
    <w:link w:val="808"/>
    <w:uiPriority w:val="1"/>
    <w:qFormat/>
    <w:rPr>
      <w:rFonts w:ascii="宋体" w:hAnsi="Times New Roman" w:eastAsia="宋体" w:cs="宋体"/>
      <w:b/>
      <w:bCs/>
      <w:sz w:val="32"/>
      <w:szCs w:val="32"/>
    </w:rPr>
  </w:style>
  <w:style w:type="table" w:styleId="855"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character" w:styleId="876" w:customStyle="1">
    <w:name w:val="Heading 7 Char"/>
    <w:basedOn w:val="814"/>
    <w:uiPriority w:val="9"/>
    <w:qFormat/>
    <w:rPr>
      <w:rFonts w:ascii="Arial" w:hAnsi="Arial" w:eastAsia="Arial" w:cs="Arial"/>
      <w:b/>
      <w:bCs/>
      <w:i/>
      <w:iCs/>
      <w:sz w:val="22"/>
      <w:szCs w:val="22"/>
    </w:rPr>
  </w:style>
  <w:style w:type="character" w:styleId="877" w:customStyle="1">
    <w:name w:val="Heading 8 Char"/>
    <w:basedOn w:val="814"/>
    <w:uiPriority w:val="9"/>
    <w:qFormat/>
    <w:rPr>
      <w:rFonts w:ascii="Arial" w:hAnsi="Arial" w:eastAsia="Arial" w:cs="Arial"/>
      <w:i/>
      <w:iCs/>
      <w:sz w:val="22"/>
      <w:szCs w:val="22"/>
    </w:rPr>
  </w:style>
  <w:style w:type="character" w:styleId="878" w:customStyle="1">
    <w:name w:val="Heading 9 Char"/>
    <w:basedOn w:val="814"/>
    <w:uiPriority w:val="9"/>
    <w:qFormat/>
    <w:rPr>
      <w:rFonts w:ascii="Arial" w:hAnsi="Arial" w:eastAsia="Arial" w:cs="Arial"/>
      <w:i/>
      <w:iCs/>
      <w:sz w:val="21"/>
      <w:szCs w:val="21"/>
    </w:rPr>
  </w:style>
  <w:style w:type="character" w:styleId="879" w:customStyle="1">
    <w:name w:val="Title Char"/>
    <w:basedOn w:val="814"/>
    <w:uiPriority w:val="10"/>
    <w:qFormat/>
    <w:rPr>
      <w:sz w:val="48"/>
      <w:szCs w:val="48"/>
    </w:rPr>
  </w:style>
  <w:style w:type="character" w:styleId="880" w:customStyle="1">
    <w:name w:val="Subtitle Char"/>
    <w:basedOn w:val="814"/>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table" w:styleId="883"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31"/>
    <w:basedOn w:val="8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无格式表格 41"/>
    <w:basedOn w:val="8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无格式表格 51"/>
    <w:basedOn w:val="8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清单表 1 浅色1"/>
    <w:basedOn w:val="81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basedOn w:val="81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清单表 7 彩色1"/>
    <w:basedOn w:val="81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标题1"/>
    <w:uiPriority w:val="39"/>
    <w:unhideWhenUsed/>
    <w:qFormat/>
    <w:rPr>
      <w:rFonts w:hint="default" w:ascii="Times New Roman" w:hAnsi="Times New Roman" w:eastAsia="宋体" w:cs="Times New Roman"/>
      <w:lang w:val="en-US" w:eastAsia="zh-CN" w:bidi="ar-SA"/>
    </w:rPr>
  </w:style>
  <w:style w:type="character" w:styleId="905" w:customStyle="1">
    <w:name w:val="Heading 1 Char"/>
    <w:uiPriority w:val="9"/>
    <w:qFormat/>
    <w:rPr>
      <w:rFonts w:ascii="Arial" w:hAnsi="Arial" w:eastAsia="Arial" w:cs="Arial"/>
      <w:sz w:val="40"/>
      <w:szCs w:val="40"/>
    </w:rPr>
  </w:style>
  <w:style w:type="character" w:styleId="906" w:customStyle="1">
    <w:name w:val="Heading 2 Char"/>
    <w:uiPriority w:val="9"/>
    <w:qFormat/>
    <w:rPr>
      <w:rFonts w:ascii="Arial" w:hAnsi="Arial" w:eastAsia="Arial" w:cs="Arial"/>
      <w:sz w:val="34"/>
    </w:rPr>
  </w:style>
  <w:style w:type="character" w:styleId="907" w:customStyle="1">
    <w:name w:val="Heading 3 Char"/>
    <w:uiPriority w:val="9"/>
    <w:qFormat/>
    <w:rPr>
      <w:rFonts w:ascii="Arial" w:hAnsi="Arial" w:eastAsia="Arial" w:cs="Arial"/>
      <w:sz w:val="30"/>
      <w:szCs w:val="30"/>
    </w:rPr>
  </w:style>
  <w:style w:type="character" w:styleId="908" w:customStyle="1">
    <w:name w:val="Heading 4 Char"/>
    <w:uiPriority w:val="9"/>
    <w:qFormat/>
    <w:rPr>
      <w:rFonts w:ascii="Arial" w:hAnsi="Arial" w:eastAsia="Arial" w:cs="Arial"/>
      <w:b/>
      <w:bCs/>
      <w:sz w:val="26"/>
      <w:szCs w:val="26"/>
    </w:rPr>
  </w:style>
  <w:style w:type="character" w:styleId="909" w:customStyle="1">
    <w:name w:val="Heading 5 Char"/>
    <w:uiPriority w:val="9"/>
    <w:qFormat/>
    <w:rPr>
      <w:rFonts w:ascii="Arial" w:hAnsi="Arial" w:eastAsia="Arial" w:cs="Arial"/>
      <w:b/>
      <w:bCs/>
      <w:sz w:val="24"/>
      <w:szCs w:val="24"/>
    </w:rPr>
  </w:style>
  <w:style w:type="character" w:styleId="910" w:customStyle="1">
    <w:name w:val="Heading 6 Char"/>
    <w:uiPriority w:val="9"/>
    <w:qFormat/>
    <w:rPr>
      <w:rFonts w:ascii="Arial" w:hAnsi="Arial" w:eastAsia="Arial" w:cs="Arial"/>
      <w:b/>
      <w:bCs/>
      <w:sz w:val="22"/>
      <w:szCs w:val="22"/>
    </w:rPr>
  </w:style>
  <w:style w:type="character" w:styleId="911" w:customStyle="1">
    <w:name w:val="标题 7 字符"/>
    <w:link w:val="811"/>
    <w:uiPriority w:val="9"/>
    <w:qFormat/>
    <w:rPr>
      <w:rFonts w:ascii="Arial" w:hAnsi="Arial" w:eastAsia="Arial" w:cs="Arial"/>
      <w:b/>
      <w:bCs/>
      <w:i/>
      <w:iCs/>
      <w:sz w:val="22"/>
      <w:szCs w:val="22"/>
    </w:rPr>
  </w:style>
  <w:style w:type="character" w:styleId="912" w:customStyle="1">
    <w:name w:val="标题 8 字符"/>
    <w:link w:val="812"/>
    <w:uiPriority w:val="9"/>
    <w:qFormat/>
    <w:rPr>
      <w:rFonts w:ascii="Arial" w:hAnsi="Arial" w:eastAsia="Arial" w:cs="Arial"/>
      <w:i/>
      <w:iCs/>
      <w:sz w:val="22"/>
      <w:szCs w:val="22"/>
    </w:rPr>
  </w:style>
  <w:style w:type="character" w:styleId="913" w:customStyle="1">
    <w:name w:val="标题 9 字符"/>
    <w:link w:val="813"/>
    <w:uiPriority w:val="9"/>
    <w:qFormat/>
    <w:rPr>
      <w:rFonts w:ascii="Arial" w:hAnsi="Arial" w:eastAsia="Arial" w:cs="Arial"/>
      <w:i/>
      <w:iCs/>
      <w:sz w:val="21"/>
      <w:szCs w:val="21"/>
    </w:rPr>
  </w:style>
  <w:style w:type="paragraph" w:styleId="914">
    <w:name w:val="List Paragraph"/>
    <w:basedOn w:val="804"/>
    <w:uiPriority w:val="1"/>
    <w:qFormat/>
    <w:pPr>
      <w:contextualSpacing/>
      <w:ind w:left="720"/>
    </w:pPr>
  </w:style>
  <w:style w:type="paragraph" w:styleId="915">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916" w:customStyle="1">
    <w:name w:val="标题 字符"/>
    <w:link w:val="843"/>
    <w:uiPriority w:val="10"/>
    <w:qFormat/>
    <w:rPr>
      <w:sz w:val="48"/>
      <w:szCs w:val="48"/>
    </w:rPr>
  </w:style>
  <w:style w:type="character" w:styleId="917" w:customStyle="1">
    <w:name w:val="副标题 字符"/>
    <w:link w:val="835"/>
    <w:uiPriority w:val="11"/>
    <w:qFormat/>
    <w:rPr>
      <w:sz w:val="24"/>
      <w:szCs w:val="24"/>
    </w:rPr>
  </w:style>
  <w:style w:type="paragraph" w:styleId="918">
    <w:name w:val="Quote"/>
    <w:basedOn w:val="804"/>
    <w:next w:val="804"/>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804"/>
    <w:next w:val="804"/>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Header Char"/>
    <w:uiPriority w:val="99"/>
    <w:qFormat/>
  </w:style>
  <w:style w:type="character" w:styleId="923" w:customStyle="1">
    <w:name w:val="Footer Char"/>
    <w:uiPriority w:val="99"/>
    <w:qFormat/>
  </w:style>
  <w:style w:type="character" w:styleId="924" w:customStyle="1">
    <w:name w:val="Caption Char"/>
    <w:uiPriority w:val="99"/>
    <w:qFormat/>
  </w:style>
  <w:style w:type="table" w:styleId="9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字符"/>
    <w:link w:val="836"/>
    <w:uiPriority w:val="99"/>
    <w:qFormat/>
    <w:rPr>
      <w:sz w:val="18"/>
    </w:rPr>
  </w:style>
  <w:style w:type="character" w:styleId="1032" w:customStyle="1">
    <w:name w:val="尾注文本 字符"/>
    <w:link w:val="829"/>
    <w:uiPriority w:val="99"/>
    <w:qFormat/>
    <w:rPr>
      <w:sz w:val="20"/>
    </w:rPr>
  </w:style>
  <w:style w:type="paragraph" w:styleId="1033" w:customStyle="1">
    <w:name w:val="TOC 标题11"/>
    <w:uiPriority w:val="39"/>
    <w:unhideWhenUsed/>
    <w:qFormat/>
    <w:rPr>
      <w:rFonts w:hint="default" w:ascii="Times New Roman" w:hAnsi="Times New Roman" w:eastAsia="宋体" w:cs="Times New Roman"/>
      <w:lang w:val="en-US" w:eastAsia="zh-CN" w:bidi="ar-SA"/>
    </w:rPr>
  </w:style>
  <w:style w:type="character" w:styleId="1034" w:customStyle="1">
    <w:name w:val="标题 1 字符"/>
    <w:link w:val="805"/>
    <w:uiPriority w:val="1"/>
    <w:qFormat/>
    <w:rPr>
      <w:rFonts w:ascii="宋体" w:hAnsi="Times New Roman" w:eastAsia="宋体" w:cs="宋体"/>
      <w:b/>
      <w:bCs/>
      <w:sz w:val="72"/>
      <w:szCs w:val="72"/>
    </w:rPr>
  </w:style>
  <w:style w:type="character" w:styleId="1035" w:customStyle="1">
    <w:name w:val="标题 2 字符"/>
    <w:link w:val="806"/>
    <w:uiPriority w:val="0"/>
    <w:qFormat/>
    <w:rPr>
      <w:rFonts w:ascii="宋体" w:hAnsi="Times New Roman" w:eastAsia="宋体" w:cs="宋体"/>
      <w:b/>
      <w:bCs/>
      <w:sz w:val="44"/>
      <w:szCs w:val="44"/>
    </w:rPr>
  </w:style>
  <w:style w:type="character" w:styleId="1036" w:customStyle="1">
    <w:name w:val="标题 3 字符"/>
    <w:link w:val="807"/>
    <w:uiPriority w:val="1"/>
    <w:qFormat/>
    <w:rPr>
      <w:rFonts w:ascii="宋体" w:hAnsi="Times New Roman" w:eastAsia="宋体" w:cs="宋体"/>
      <w:b/>
      <w:bCs/>
      <w:sz w:val="36"/>
      <w:szCs w:val="36"/>
    </w:rPr>
  </w:style>
  <w:style w:type="character" w:styleId="1037" w:customStyle="1">
    <w:name w:val="标题 5 字符"/>
    <w:link w:val="809"/>
    <w:uiPriority w:val="1"/>
    <w:qFormat/>
    <w:rPr>
      <w:rFonts w:ascii="宋体" w:hAnsi="Times New Roman" w:eastAsia="宋体" w:cs="宋体"/>
      <w:sz w:val="24"/>
      <w:szCs w:val="24"/>
    </w:rPr>
  </w:style>
  <w:style w:type="character" w:styleId="1038" w:customStyle="1">
    <w:name w:val="标题 6 字符"/>
    <w:link w:val="810"/>
    <w:uiPriority w:val="1"/>
    <w:qFormat/>
    <w:rPr>
      <w:rFonts w:ascii="宋体" w:hAnsi="Times New Roman" w:eastAsia="宋体" w:cs="宋体"/>
      <w:b/>
      <w:bCs/>
      <w:szCs w:val="21"/>
    </w:rPr>
  </w:style>
  <w:style w:type="character" w:styleId="1039" w:customStyle="1">
    <w:name w:val="正文缩进 字符"/>
    <w:link w:val="817"/>
    <w:uiPriority w:val="0"/>
    <w:qFormat/>
    <w:rPr>
      <w:rFonts w:ascii="Times New Roman" w:hAnsi="Times New Roman" w:eastAsia="楷体_GB2312"/>
      <w:sz w:val="21"/>
    </w:rPr>
  </w:style>
  <w:style w:type="character" w:styleId="1040" w:customStyle="1">
    <w:name w:val="文档结构图 字符"/>
    <w:link w:val="819"/>
    <w:uiPriority w:val="99"/>
    <w:qFormat/>
    <w:rPr>
      <w:rFonts w:ascii="宋体" w:hAnsi="Times New Roman" w:eastAsia="Arial Unicode MS"/>
      <w:sz w:val="18"/>
      <w:szCs w:val="18"/>
      <w:lang w:eastAsia="en-US"/>
    </w:rPr>
  </w:style>
  <w:style w:type="character" w:styleId="1041" w:customStyle="1">
    <w:name w:val="批注文字 字符"/>
    <w:link w:val="820"/>
    <w:uiPriority w:val="0"/>
    <w:qFormat/>
    <w:rPr>
      <w:rFonts w:ascii="Calibri" w:hAnsi="Calibri" w:eastAsia="宋体" w:cs="宋体"/>
    </w:rPr>
  </w:style>
  <w:style w:type="character" w:styleId="1042" w:customStyle="1">
    <w:name w:val="正文文本 字符"/>
    <w:link w:val="821"/>
    <w:uiPriority w:val="99"/>
    <w:qFormat/>
    <w:rPr>
      <w:rFonts w:ascii="宋体" w:hAnsi="Times New Roman" w:eastAsia="宋体" w:cs="宋体"/>
      <w:szCs w:val="21"/>
    </w:rPr>
  </w:style>
  <w:style w:type="character" w:styleId="1043" w:customStyle="1">
    <w:name w:val="正文文本缩进 字符"/>
    <w:link w:val="822"/>
    <w:uiPriority w:val="99"/>
    <w:qFormat/>
    <w:rPr>
      <w:rFonts w:ascii="宋体" w:hAnsi="Times New Roman" w:eastAsia="宋体" w:cs="宋体"/>
      <w:sz w:val="22"/>
    </w:rPr>
  </w:style>
  <w:style w:type="character" w:styleId="1044" w:customStyle="1">
    <w:name w:val="纯文本 字符"/>
    <w:uiPriority w:val="0"/>
    <w:qFormat/>
    <w:rPr>
      <w:rFonts w:ascii="宋体" w:hAnsi="Courier New" w:eastAsia="楷体_GB2312"/>
      <w:sz w:val="26"/>
    </w:rPr>
  </w:style>
  <w:style w:type="character" w:styleId="1045" w:customStyle="1">
    <w:name w:val="日期 字符"/>
    <w:link w:val="828"/>
    <w:uiPriority w:val="99"/>
    <w:semiHidden/>
    <w:qFormat/>
    <w:rPr>
      <w:rFonts w:ascii="宋体" w:hAnsi="Times New Roman" w:eastAsia="宋体" w:cs="宋体"/>
      <w:sz w:val="22"/>
      <w:szCs w:val="22"/>
    </w:rPr>
  </w:style>
  <w:style w:type="character" w:styleId="1046" w:customStyle="1">
    <w:name w:val="页脚 字符"/>
    <w:link w:val="831"/>
    <w:uiPriority w:val="99"/>
    <w:qFormat/>
    <w:rPr>
      <w:rFonts w:ascii="宋体" w:hAnsi="Times New Roman" w:eastAsia="宋体" w:cs="宋体"/>
      <w:sz w:val="18"/>
      <w:szCs w:val="18"/>
    </w:rPr>
  </w:style>
  <w:style w:type="character" w:styleId="1047" w:customStyle="1">
    <w:name w:val="页眉 字符"/>
    <w:link w:val="832"/>
    <w:uiPriority w:val="99"/>
    <w:qFormat/>
    <w:rPr>
      <w:rFonts w:ascii="宋体" w:hAnsi="Times New Roman" w:eastAsia="宋体" w:cs="宋体"/>
      <w:sz w:val="18"/>
      <w:szCs w:val="18"/>
    </w:rPr>
  </w:style>
  <w:style w:type="character" w:styleId="1048" w:customStyle="1">
    <w:name w:val="正文文本缩进 3 字符"/>
    <w:link w:val="838"/>
    <w:uiPriority w:val="99"/>
    <w:qFormat/>
    <w:rPr>
      <w:rFonts w:ascii="宋体" w:hAnsi="Times New Roman" w:eastAsia="宋体" w:cs="宋体"/>
      <w:sz w:val="16"/>
      <w:szCs w:val="16"/>
    </w:rPr>
  </w:style>
  <w:style w:type="character" w:styleId="1049" w:customStyle="1">
    <w:name w:val="普通(网站) 字符"/>
    <w:link w:val="842"/>
    <w:uiPriority w:val="99"/>
    <w:qFormat/>
    <w:rPr>
      <w:rFonts w:ascii="Times New Roman" w:hAnsi="Times New Roman" w:eastAsia="宋体" w:cs="宋体"/>
      <w:sz w:val="24"/>
      <w:szCs w:val="21"/>
    </w:rPr>
  </w:style>
  <w:style w:type="character" w:styleId="1050" w:customStyle="1">
    <w:name w:val="批注主题 字符"/>
    <w:link w:val="844"/>
    <w:uiPriority w:val="99"/>
    <w:semiHidden/>
    <w:qFormat/>
    <w:rPr>
      <w:rFonts w:ascii="宋体" w:hAnsi="Times New Roman" w:eastAsia="宋体" w:cs="宋体"/>
      <w:b/>
      <w:bCs/>
      <w:sz w:val="22"/>
      <w:szCs w:val="22"/>
    </w:rPr>
  </w:style>
  <w:style w:type="paragraph" w:styleId="1051" w:customStyle="1">
    <w:name w:val="正文文本首行缩进1"/>
    <w:basedOn w:val="821"/>
    <w:link w:val="1052"/>
    <w:uiPriority w:val="99"/>
    <w:unhideWhenUsed/>
    <w:qFormat/>
    <w:pPr>
      <w:ind w:left="0" w:firstLine="420"/>
      <w:spacing w:before="0" w:after="120"/>
    </w:pPr>
    <w:rPr>
      <w:sz w:val="22"/>
      <w:szCs w:val="22"/>
    </w:rPr>
  </w:style>
  <w:style w:type="character" w:styleId="1052" w:customStyle="1">
    <w:name w:val="正文文本首行缩进 字符"/>
    <w:link w:val="1051"/>
    <w:uiPriority w:val="99"/>
    <w:qFormat/>
    <w:rPr>
      <w:rFonts w:ascii="宋体" w:hAnsi="Times New Roman" w:eastAsia="宋体" w:cs="宋体"/>
      <w:sz w:val="22"/>
      <w:szCs w:val="22"/>
    </w:rPr>
  </w:style>
  <w:style w:type="paragraph" w:styleId="1053" w:customStyle="1">
    <w:name w:val="正文文本首行缩进 21"/>
    <w:basedOn w:val="822"/>
    <w:link w:val="1054"/>
    <w:uiPriority w:val="0"/>
    <w:qFormat/>
    <w:pPr>
      <w:ind w:firstLine="420"/>
      <w:jc w:val="both"/>
    </w:pPr>
    <w:rPr>
      <w:sz w:val="21"/>
      <w:szCs w:val="24"/>
    </w:rPr>
  </w:style>
  <w:style w:type="character" w:styleId="1054" w:customStyle="1">
    <w:name w:val="正文文本首行缩进 2 字符"/>
    <w:link w:val="1053"/>
    <w:uiPriority w:val="0"/>
    <w:qFormat/>
    <w:rPr>
      <w:rFonts w:ascii="宋体" w:hAnsi="Times New Roman" w:eastAsia="宋体" w:cs="宋体"/>
      <w:sz w:val="21"/>
      <w:szCs w:val="24"/>
    </w:rPr>
  </w:style>
  <w:style w:type="paragraph" w:styleId="1055" w:customStyle="1">
    <w:name w:val="段"/>
    <w:next w:val="804"/>
    <w:uiPriority w:val="0"/>
    <w:qFormat/>
    <w:pPr>
      <w:ind w:firstLine="200"/>
      <w:jc w:val="both"/>
    </w:pPr>
    <w:rPr>
      <w:rFonts w:hint="default" w:ascii="宋体" w:hAnsi="Times New Roman" w:eastAsia="宋体" w:cs="Times New Roman"/>
      <w:sz w:val="21"/>
      <w:lang w:val="en-US" w:eastAsia="zh-CN" w:bidi="ar-SA"/>
    </w:rPr>
  </w:style>
  <w:style w:type="paragraph" w:styleId="1056" w:customStyle="1">
    <w:name w:val="列表段落1"/>
    <w:basedOn w:val="804"/>
    <w:link w:val="1057"/>
    <w:uiPriority w:val="34"/>
    <w:qFormat/>
    <w:pPr>
      <w:ind w:left="367" w:firstLine="420"/>
      <w:spacing w:before="132"/>
    </w:pPr>
    <w:rPr>
      <w:sz w:val="24"/>
      <w:szCs w:val="24"/>
    </w:rPr>
  </w:style>
  <w:style w:type="character" w:styleId="1057" w:customStyle="1">
    <w:name w:val="列表段落 字符"/>
    <w:link w:val="1056"/>
    <w:uiPriority w:val="34"/>
    <w:qFormat/>
    <w:rPr>
      <w:rFonts w:ascii="宋体" w:cs="宋体"/>
      <w:sz w:val="24"/>
      <w:szCs w:val="24"/>
    </w:rPr>
  </w:style>
  <w:style w:type="paragraph" w:styleId="1058" w:customStyle="1">
    <w:name w:val="Table Paragraph"/>
    <w:basedOn w:val="804"/>
    <w:uiPriority w:val="1"/>
    <w:qFormat/>
    <w:pPr>
      <w:jc w:val="center"/>
      <w:spacing w:before="111"/>
    </w:pPr>
    <w:rPr>
      <w:sz w:val="24"/>
      <w:szCs w:val="24"/>
    </w:rPr>
  </w:style>
  <w:style w:type="paragraph" w:styleId="1059" w:customStyle="1">
    <w:name w:val="Plain Text2"/>
    <w:basedOn w:val="804"/>
    <w:uiPriority w:val="0"/>
    <w:qFormat/>
    <w:pPr>
      <w:jc w:val="both"/>
    </w:pPr>
    <w:rPr>
      <w:rFonts w:hAnsi="Courier New" w:eastAsia="楷体_GB2312" w:cs="Times New Roman"/>
      <w:sz w:val="28"/>
      <w:szCs w:val="24"/>
    </w:rPr>
  </w:style>
  <w:style w:type="paragraph" w:styleId="1060" w:customStyle="1">
    <w:name w:val="列表段落11"/>
    <w:basedOn w:val="804"/>
    <w:uiPriority w:val="34"/>
    <w:qFormat/>
    <w:pPr>
      <w:ind w:firstLine="420"/>
      <w:jc w:val="both"/>
    </w:pPr>
    <w:rPr>
      <w:rFonts w:ascii="等线" w:hAnsi="等线" w:eastAsia="等线" w:cs="Times New Roman"/>
      <w:sz w:val="21"/>
      <w:szCs w:val="24"/>
    </w:rPr>
  </w:style>
  <w:style w:type="paragraph" w:styleId="1061" w:customStyle="1">
    <w:name w:val="彩色列表 - 强调文字颜色 11"/>
    <w:basedOn w:val="804"/>
    <w:uiPriority w:val="0"/>
    <w:qFormat/>
    <w:pPr>
      <w:ind w:firstLine="420"/>
      <w:jc w:val="both"/>
    </w:pPr>
    <w:rPr>
      <w:rFonts w:ascii="Times New Roman" w:eastAsia="等线" w:cs="Times New Roman"/>
      <w:sz w:val="21"/>
      <w:szCs w:val="24"/>
    </w:rPr>
  </w:style>
  <w:style w:type="character" w:styleId="1062" w:customStyle="1">
    <w:name w:val="标题 4 Char"/>
    <w:uiPriority w:val="0"/>
    <w:qFormat/>
    <w:rPr>
      <w:rFonts w:ascii="Arial" w:hAnsi="Arial" w:eastAsia="黑体"/>
      <w:b/>
      <w:sz w:val="28"/>
    </w:rPr>
  </w:style>
  <w:style w:type="paragraph" w:styleId="1063" w:customStyle="1">
    <w:name w:val="xl24"/>
    <w:basedOn w:val="804"/>
    <w:uiPriority w:val="0"/>
    <w:qFormat/>
    <w:pPr>
      <w:jc w:val="center"/>
      <w:spacing w:before="100" w:beforeAutospacing="1" w:after="100" w:afterAutospacing="1"/>
      <w:widowControl/>
    </w:pPr>
    <w:rPr>
      <w:rFonts w:hint="eastAsia" w:hAnsi="宋体" w:cs="Times New Roman"/>
      <w:sz w:val="24"/>
      <w:szCs w:val="24"/>
    </w:rPr>
  </w:style>
  <w:style w:type="character" w:styleId="1064" w:customStyle="1">
    <w:name w:val="正文文本缩进 字符1"/>
    <w:uiPriority w:val="0"/>
    <w:qFormat/>
    <w:rPr>
      <w:rFonts w:ascii="宋体" w:eastAsia="宋体"/>
      <w:sz w:val="28"/>
      <w:lang w:val="en-US" w:eastAsia="zh-CN" w:bidi="ar-SA"/>
    </w:rPr>
  </w:style>
  <w:style w:type="character" w:styleId="1065" w:customStyle="1">
    <w:name w:val="方案正文 Char"/>
    <w:link w:val="1066"/>
    <w:uiPriority w:val="0"/>
    <w:qFormat/>
    <w:rPr>
      <w:sz w:val="24"/>
    </w:rPr>
  </w:style>
  <w:style w:type="paragraph" w:styleId="1066" w:customStyle="1">
    <w:name w:val="方案正文"/>
    <w:basedOn w:val="804"/>
    <w:link w:val="1065"/>
    <w:uiPriority w:val="0"/>
    <w:qFormat/>
    <w:pPr>
      <w:jc w:val="both"/>
      <w:spacing w:line="440" w:lineRule="atLeast"/>
    </w:pPr>
    <w:rPr>
      <w:rFonts w:ascii="Times New Roman" w:cs="Times New Roman"/>
      <w:sz w:val="24"/>
      <w:szCs w:val="20"/>
    </w:rPr>
  </w:style>
  <w:style w:type="paragraph" w:styleId="1067" w:customStyle="1">
    <w:name w:val="列出段落2"/>
    <w:basedOn w:val="804"/>
    <w:uiPriority w:val="34"/>
    <w:qFormat/>
    <w:pPr>
      <w:ind w:firstLine="420"/>
      <w:jc w:val="both"/>
      <w:spacing w:line="360" w:lineRule="auto"/>
    </w:pPr>
    <w:rPr>
      <w:rFonts w:ascii="Calibri" w:hAnsi="Calibri" w:cs="Times New Roman"/>
      <w:sz w:val="24"/>
      <w:szCs w:val="20"/>
    </w:rPr>
  </w:style>
  <w:style w:type="paragraph" w:styleId="1068" w:customStyle="1">
    <w:name w:val="列出段落12"/>
    <w:basedOn w:val="804"/>
    <w:uiPriority w:val="0"/>
    <w:qFormat/>
    <w:pPr>
      <w:ind w:firstLine="420"/>
      <w:jc w:val="both"/>
    </w:pPr>
    <w:rPr>
      <w:rFonts w:ascii="Times New Roman" w:cs="Times New Roman"/>
      <w:sz w:val="21"/>
      <w:szCs w:val="20"/>
    </w:rPr>
  </w:style>
  <w:style w:type="paragraph" w:styleId="1069" w:customStyle="1">
    <w:name w:val="列出段落5"/>
    <w:basedOn w:val="804"/>
    <w:uiPriority w:val="0"/>
    <w:qFormat/>
    <w:pPr>
      <w:ind w:firstLine="420"/>
      <w:jc w:val="both"/>
    </w:pPr>
    <w:rPr>
      <w:rFonts w:ascii="Calibri" w:hAnsi="Calibri" w:cs="Times New Roman"/>
      <w:sz w:val="21"/>
      <w:szCs w:val="20"/>
    </w:rPr>
  </w:style>
  <w:style w:type="paragraph" w:styleId="1070" w:customStyle="1">
    <w:name w:val="正文1"/>
    <w:basedOn w:val="804"/>
    <w:next w:val="804"/>
    <w:uiPriority w:val="0"/>
    <w:qFormat/>
    <w:pPr>
      <w:ind w:firstLine="420"/>
      <w:jc w:val="both"/>
      <w:spacing w:line="360" w:lineRule="auto"/>
      <w:tabs>
        <w:tab w:val="left" w:pos="420" w:leader="none"/>
      </w:tabs>
    </w:pPr>
    <w:rPr>
      <w:rFonts w:hAnsi="宋体" w:cs="Times New Roman"/>
      <w:sz w:val="21"/>
      <w:szCs w:val="20"/>
    </w:rPr>
  </w:style>
  <w:style w:type="character" w:styleId="1071" w:customStyle="1">
    <w:name w:val="font41"/>
    <w:uiPriority w:val="0"/>
    <w:qFormat/>
    <w:rPr>
      <w:rFonts w:hint="eastAsia" w:ascii="宋体" w:hAnsi="宋体" w:eastAsia="宋体" w:cs="宋体"/>
      <w:color w:val="000000"/>
      <w:sz w:val="20"/>
      <w:szCs w:val="20"/>
      <w:u w:val="none"/>
    </w:rPr>
  </w:style>
  <w:style w:type="character" w:styleId="1072" w:customStyle="1">
    <w:name w:val="Plain Text Char1"/>
    <w:link w:val="1073"/>
    <w:uiPriority w:val="0"/>
    <w:qFormat/>
    <w:rPr>
      <w:rFonts w:ascii="宋体" w:hAnsi="Courier New" w:eastAsia="楷体_GB2312"/>
      <w:sz w:val="26"/>
    </w:rPr>
  </w:style>
  <w:style w:type="paragraph" w:styleId="1073" w:customStyle="1">
    <w:name w:val="纯文本1"/>
    <w:basedOn w:val="804"/>
    <w:link w:val="1072"/>
    <w:uiPriority w:val="0"/>
    <w:qFormat/>
    <w:pPr>
      <w:jc w:val="both"/>
    </w:pPr>
    <w:rPr>
      <w:rFonts w:hAnsi="Courier New" w:eastAsia="楷体_GB2312" w:cs="Times New Roman"/>
      <w:sz w:val="26"/>
      <w:szCs w:val="20"/>
    </w:rPr>
  </w:style>
  <w:style w:type="character" w:styleId="1074" w:customStyle="1">
    <w:name w:val="页眉 字符2"/>
    <w:uiPriority w:val="99"/>
    <w:qFormat/>
    <w:rPr>
      <w:rFonts w:eastAsia="宋体"/>
      <w:sz w:val="18"/>
      <w:lang w:val="en-US" w:eastAsia="zh-CN" w:bidi="ar-SA"/>
    </w:rPr>
  </w:style>
  <w:style w:type="character" w:styleId="1075" w:customStyle="1">
    <w:name w:val="页脚 字符2"/>
    <w:uiPriority w:val="99"/>
    <w:qFormat/>
    <w:rPr>
      <w:rFonts w:eastAsia="宋体"/>
      <w:sz w:val="18"/>
      <w:lang w:val="en-US" w:eastAsia="zh-CN" w:bidi="ar-SA"/>
    </w:rPr>
  </w:style>
  <w:style w:type="character" w:styleId="1076" w:customStyle="1">
    <w:name w:val="01 章标 Char"/>
    <w:link w:val="1077"/>
    <w:uiPriority w:val="0"/>
    <w:qFormat/>
    <w:rPr>
      <w:b/>
      <w:sz w:val="44"/>
      <w:szCs w:val="44"/>
    </w:rPr>
  </w:style>
  <w:style w:type="paragraph" w:styleId="1077" w:customStyle="1">
    <w:name w:val="01 章标"/>
    <w:basedOn w:val="804"/>
    <w:link w:val="1076"/>
    <w:uiPriority w:val="0"/>
    <w:qFormat/>
    <w:pPr>
      <w:ind w:firstLine="883"/>
      <w:jc w:val="center"/>
      <w:outlineLvl w:val="0"/>
    </w:pPr>
    <w:rPr>
      <w:rFonts w:ascii="Times New Roman" w:cs="Times New Roman"/>
      <w:b/>
      <w:sz w:val="44"/>
      <w:szCs w:val="44"/>
    </w:rPr>
  </w:style>
  <w:style w:type="character" w:styleId="1078" w:customStyle="1">
    <w:name w:val="纯文本 字符1"/>
    <w:uiPriority w:val="99"/>
    <w:qFormat/>
    <w:rPr>
      <w:rFonts w:ascii="宋体" w:hAnsi="Courier New" w:eastAsia="宋体" w:cs="Courier New"/>
      <w:sz w:val="21"/>
      <w:szCs w:val="21"/>
    </w:rPr>
  </w:style>
  <w:style w:type="paragraph" w:styleId="1079" w:customStyle="1">
    <w:name w:val="页眉与页脚"/>
    <w:uiPriority w:val="0"/>
    <w:qFormat/>
    <w:pPr>
      <w:tabs>
        <w:tab w:val="right" w:pos="9020" w:leader="none"/>
      </w:tabs>
      <w:framePr w:wrap="around" w:vAnchor="margin" w:hAnchor="text" w:y="1"/>
    </w:pPr>
    <w:rPr>
      <w:rFonts w:hint="default" w:ascii="Helvetica Neue" w:hAnsi="Helvetica Neue" w:eastAsia="Arial Unicode MS" w:cs="Arial Unicode MS"/>
      <w:color w:val="000000"/>
      <w:sz w:val="24"/>
      <w:szCs w:val="24"/>
      <w:lang w:val="en-US" w:eastAsia="zh-CN" w:bidi="ar-SA"/>
    </w:rPr>
  </w:style>
  <w:style w:type="paragraph" w:styleId="1080" w:customStyle="1">
    <w:name w:val="正文 A A"/>
    <w:uiPriority w:val="0"/>
    <w:qFormat/>
    <w:pPr>
      <w:jc w:val="both"/>
      <w:widowControl w:val="off"/>
      <w:framePr w:wrap="around" w:vAnchor="margin" w:hAnchor="text" w:y="1"/>
    </w:pPr>
    <w:rPr>
      <w:rFonts w:hint="default" w:ascii="Calibri" w:hAnsi="Calibri" w:eastAsia="Calibri" w:cs="Calibri"/>
      <w:color w:val="000000"/>
      <w:sz w:val="21"/>
      <w:szCs w:val="21"/>
      <w:lang w:val="en-US" w:eastAsia="zh-CN" w:bidi="ar-SA"/>
    </w:rPr>
  </w:style>
  <w:style w:type="character" w:styleId="1081" w:customStyle="1">
    <w:name w:val="未处理的提及1"/>
    <w:uiPriority w:val="99"/>
    <w:unhideWhenUsed/>
    <w:qFormat/>
    <w:rPr>
      <w:color w:val="605e5c"/>
      <w:shd w:val="clear" w:color="auto" w:fill="e1dfdd"/>
    </w:rPr>
  </w:style>
  <w:style w:type="character" w:styleId="1082" w:customStyle="1">
    <w:name w:val="font01"/>
    <w:uiPriority w:val="0"/>
    <w:qFormat/>
    <w:rPr>
      <w:rFonts w:ascii="Arial" w:hAnsi="Arial" w:cs="Arial"/>
      <w:color w:val="000000"/>
      <w:sz w:val="20"/>
      <w:szCs w:val="20"/>
      <w:u w:val="none"/>
    </w:rPr>
  </w:style>
  <w:style w:type="paragraph" w:styleId="1083" w:customStyle="1">
    <w:name w:val="正文 A"/>
    <w:uiPriority w:val="0"/>
    <w:qFormat/>
    <w:pPr>
      <w:jc w:val="both"/>
      <w:widowControl w:val="off"/>
      <w:framePr w:wrap="around" w:vAnchor="margin" w:hAnchor="text" w:y="1"/>
    </w:pPr>
    <w:rPr>
      <w:rFonts w:hint="default" w:ascii="Times New Roman" w:hAnsi="Times New Roman" w:eastAsia="Arial Unicode MS" w:cs="Arial Unicode MS"/>
      <w:color w:val="000000"/>
      <w:sz w:val="21"/>
      <w:szCs w:val="21"/>
      <w:lang w:val="en-US" w:eastAsia="zh-CN" w:bidi="ar-SA"/>
    </w:rPr>
  </w:style>
  <w:style w:type="character" w:styleId="1084" w:customStyle="1">
    <w:name w:val="NormalCharacter1"/>
    <w:uiPriority w:val="0"/>
    <w:qFormat/>
  </w:style>
  <w:style w:type="paragraph" w:styleId="1085" w:customStyle="1">
    <w:name w:val="Andy_正文"/>
    <w:basedOn w:val="804"/>
    <w:uiPriority w:val="0"/>
    <w:qFormat/>
    <w:pPr>
      <w:ind w:firstLine="480"/>
      <w:jc w:val="both"/>
      <w:spacing w:line="360" w:lineRule="auto"/>
    </w:pPr>
    <w:rPr>
      <w:rFonts w:ascii="Times New Roman" w:cs="Times New Roman"/>
      <w:sz w:val="24"/>
      <w:szCs w:val="24"/>
    </w:rPr>
  </w:style>
  <w:style w:type="character" w:styleId="1086" w:customStyle="1">
    <w:name w:val="font51"/>
    <w:uiPriority w:val="0"/>
    <w:qFormat/>
    <w:rPr>
      <w:rFonts w:hint="eastAsia" w:ascii="宋体" w:hAnsi="宋体" w:eastAsia="宋体" w:cs="宋体"/>
      <w:b/>
      <w:bCs/>
      <w:color w:val="000000"/>
      <w:sz w:val="21"/>
      <w:szCs w:val="21"/>
      <w:u w:val="none"/>
    </w:rPr>
  </w:style>
  <w:style w:type="character" w:styleId="1087" w:customStyle="1">
    <w:name w:val="font71"/>
    <w:uiPriority w:val="0"/>
    <w:qFormat/>
    <w:rPr>
      <w:rFonts w:hint="eastAsia" w:ascii="宋体" w:hAnsi="宋体" w:eastAsia="宋体" w:cs="宋体"/>
      <w:color w:val="000000"/>
      <w:sz w:val="24"/>
      <w:szCs w:val="24"/>
      <w:u w:val="none"/>
    </w:rPr>
  </w:style>
  <w:style w:type="character" w:styleId="1088" w:customStyle="1">
    <w:name w:val="font91"/>
    <w:uiPriority w:val="0"/>
    <w:qFormat/>
    <w:rPr>
      <w:rFonts w:hint="eastAsia" w:ascii="宋体" w:hAnsi="宋体" w:eastAsia="宋体" w:cs="宋体"/>
      <w:color w:val="000000"/>
      <w:sz w:val="21"/>
      <w:szCs w:val="21"/>
      <w:u w:val="none"/>
    </w:rPr>
  </w:style>
  <w:style w:type="character" w:styleId="1089" w:customStyle="1">
    <w:name w:val="font61"/>
    <w:uiPriority w:val="0"/>
    <w:qFormat/>
    <w:rPr>
      <w:rFonts w:hint="eastAsia" w:ascii="宋体" w:hAnsi="宋体" w:eastAsia="宋体" w:cs="宋体"/>
      <w:color w:val="000000"/>
      <w:sz w:val="21"/>
      <w:szCs w:val="21"/>
      <w:u w:val="none"/>
    </w:rPr>
  </w:style>
  <w:style w:type="character" w:styleId="1090" w:customStyle="1">
    <w:name w:val="font81"/>
    <w:uiPriority w:val="0"/>
    <w:qFormat/>
    <w:rPr>
      <w:rFonts w:ascii="Calibri" w:hAnsi="Calibri" w:cs="Calibri"/>
      <w:color w:val="000000"/>
      <w:sz w:val="21"/>
      <w:szCs w:val="21"/>
      <w:u w:val="none"/>
    </w:rPr>
  </w:style>
  <w:style w:type="character" w:styleId="1091" w:customStyle="1">
    <w:name w:val="font101"/>
    <w:uiPriority w:val="0"/>
    <w:qFormat/>
    <w:rPr>
      <w:rFonts w:ascii="Calibri" w:hAnsi="Calibri" w:cs="Calibri"/>
      <w:b/>
      <w:bCs/>
      <w:color w:val="000000"/>
      <w:sz w:val="21"/>
      <w:szCs w:val="21"/>
      <w:u w:val="none"/>
    </w:rPr>
  </w:style>
  <w:style w:type="character" w:styleId="1092" w:customStyle="1">
    <w:name w:val="font111"/>
    <w:uiPriority w:val="0"/>
    <w:qFormat/>
    <w:rPr>
      <w:rFonts w:hint="eastAsia" w:ascii="宋体" w:hAnsi="宋体" w:eastAsia="宋体" w:cs="宋体"/>
      <w:b/>
      <w:bCs/>
      <w:color w:val="000000"/>
      <w:sz w:val="22"/>
      <w:szCs w:val="22"/>
      <w:u w:val="none"/>
    </w:rPr>
  </w:style>
  <w:style w:type="character" w:styleId="1093" w:customStyle="1">
    <w:name w:val="正文缩进 字符1"/>
    <w:uiPriority w:val="0"/>
    <w:qFormat/>
    <w:rPr>
      <w:rFonts w:eastAsia="宋体"/>
      <w:sz w:val="21"/>
      <w:szCs w:val="24"/>
      <w:lang w:val="en-US" w:eastAsia="zh-CN" w:bidi="ar-SA"/>
    </w:rPr>
  </w:style>
  <w:style w:type="paragraph" w:styleId="1094" w:customStyle="1">
    <w:name w:val="首行缩进"/>
    <w:basedOn w:val="804"/>
    <w:uiPriority w:val="0"/>
    <w:qFormat/>
    <w:pPr>
      <w:ind w:firstLine="480"/>
    </w:pPr>
    <w:rPr>
      <w:szCs w:val="20"/>
      <w:lang w:val="zh-CN"/>
    </w:rPr>
  </w:style>
  <w:style w:type="character" w:styleId="1095" w:customStyle="1">
    <w:name w:val="纯文本 字符2"/>
    <w:link w:val="826"/>
    <w:uiPriority w:val="0"/>
    <w:qFormat/>
    <w:rPr>
      <w:rFonts w:ascii="宋体" w:hAnsi="Courier New" w:eastAsia="楷体_GB2312"/>
      <w:sz w:val="26"/>
    </w:rPr>
  </w:style>
  <w:style w:type="paragraph" w:styleId="1096" w:customStyle="1">
    <w:name w:val="+正文"/>
    <w:basedOn w:val="804"/>
    <w:uiPriority w:val="0"/>
    <w:qFormat/>
    <w:pPr>
      <w:ind w:firstLine="200"/>
      <w:spacing w:line="360" w:lineRule="auto"/>
      <w:widowControl/>
    </w:pPr>
    <w:rPr>
      <w:rFonts w:ascii="Times New Roman" w:cs="Times New Roman"/>
      <w:sz w:val="24"/>
      <w:szCs w:val="24"/>
    </w:rPr>
  </w:style>
  <w:style w:type="paragraph" w:styleId="1097" w:customStyle="1">
    <w:name w:val="*正文"/>
    <w:basedOn w:val="804"/>
    <w:uiPriority w:val="0"/>
    <w:qFormat/>
    <w:rPr>
      <w:rFonts w:hAnsi="宋体"/>
      <w:sz w:val="24"/>
      <w:lang w:val="zh-CN"/>
    </w:rPr>
  </w:style>
  <w:style w:type="paragraph" w:styleId="1098" w:customStyle="1">
    <w:name w:val="p17"/>
    <w:basedOn w:val="804"/>
    <w:uiPriority w:val="99"/>
    <w:qFormat/>
    <w:pPr>
      <w:widowControl/>
    </w:pPr>
    <w:rPr>
      <w:rFonts w:hAnsi="宋体"/>
      <w:sz w:val="26"/>
      <w:szCs w:val="26"/>
    </w:rPr>
  </w:style>
  <w:style w:type="paragraph" w:styleId="1099" w:customStyle="1">
    <w:name w:val="列出段落1"/>
    <w:basedOn w:val="804"/>
    <w:uiPriority w:val="0"/>
    <w:qFormat/>
    <w:pPr>
      <w:ind w:firstLine="420"/>
    </w:pPr>
    <w:rPr>
      <w:rFonts w:ascii="Calibri" w:hAnsi="Calibri"/>
    </w:rPr>
  </w:style>
  <w:style w:type="character" w:styleId="1100" w:customStyle="1">
    <w:name w:val="正文缩进 Char"/>
    <w:uiPriority w:val="0"/>
    <w:qFormat/>
    <w:rPr>
      <w:rFonts w:eastAsia="楷体_GB2312"/>
      <w:sz w:val="24"/>
      <w:lang w:bidi="ar-SA"/>
    </w:rPr>
  </w:style>
  <w:style w:type="paragraph" w:styleId="1101" w:customStyle="1">
    <w:name w:val="Char"/>
    <w:basedOn w:val="804"/>
    <w:uiPriority w:val="0"/>
    <w:qFormat/>
    <w:pPr>
      <w:spacing w:after="160" w:line="240" w:lineRule="exact"/>
      <w:widowControl/>
    </w:pPr>
    <w:rPr>
      <w:rFonts w:ascii="Verdana" w:hAnsi="Verdana" w:eastAsia="仿宋_GB2312" w:cs="Times New Roman"/>
      <w:sz w:val="24"/>
      <w:lang w:eastAsia="en-US"/>
    </w:rPr>
  </w:style>
  <w:style w:type="character" w:styleId="1102" w:customStyle="1">
    <w:name w:val="正文缩进 字符3"/>
    <w:uiPriority w:val="0"/>
    <w:qFormat/>
    <w:rPr>
      <w:sz w:val="21"/>
    </w:rPr>
  </w:style>
  <w:style w:type="character" w:styleId="1103" w:customStyle="1">
    <w:name w:val="Plain Text Char Char"/>
    <w:link w:val="1104"/>
    <w:uiPriority w:val="0"/>
    <w:qFormat/>
    <w:rPr>
      <w:rFonts w:ascii="宋体" w:hAnsi="Courier New" w:eastAsia="楷体_GB2312"/>
      <w:sz w:val="26"/>
    </w:rPr>
  </w:style>
  <w:style w:type="paragraph" w:styleId="1104" w:customStyle="1">
    <w:name w:val="纯文本2"/>
    <w:basedOn w:val="804"/>
    <w:link w:val="1103"/>
    <w:uiPriority w:val="0"/>
    <w:qFormat/>
    <w:pPr>
      <w:jc w:val="both"/>
    </w:pPr>
    <w:rPr>
      <w:rFonts w:hAnsi="Courier New" w:eastAsia="楷体_GB2312" w:cs="Times New Roman"/>
      <w:sz w:val="26"/>
      <w:szCs w:val="20"/>
    </w:rPr>
  </w:style>
  <w:style w:type="character" w:styleId="1105" w:customStyle="1">
    <w:name w:val="正文文本 Char"/>
    <w:uiPriority w:val="99"/>
    <w:qFormat/>
    <w:rPr>
      <w:rFonts w:ascii="宋体" w:hAnsi="Times New Roman" w:eastAsia="宋体" w:cs="宋体"/>
      <w:szCs w:val="21"/>
    </w:rPr>
  </w:style>
  <w:style w:type="character" w:styleId="1106" w:customStyle="1">
    <w:name w:val="纯文本 Char"/>
    <w:uiPriority w:val="0"/>
    <w:qFormat/>
    <w:rPr>
      <w:rFonts w:ascii="宋体" w:hAnsi="Courier New" w:eastAsia="楷体_GB2312"/>
      <w:sz w:val="26"/>
    </w:rPr>
  </w:style>
  <w:style w:type="paragraph" w:styleId="1107" w:customStyle="1">
    <w:name w:val="_Style 172"/>
    <w:basedOn w:val="804"/>
    <w:next w:val="914"/>
    <w:uiPriority w:val="0"/>
    <w:qFormat/>
    <w:pPr>
      <w:ind w:firstLine="420"/>
      <w:jc w:val="both"/>
      <w:spacing w:line="360" w:lineRule="auto"/>
    </w:pPr>
    <w:rPr>
      <w:rFonts w:ascii="Calibri" w:hAnsi="Calibri" w:cs="Times New Roman"/>
      <w:sz w:val="24"/>
      <w:szCs w:val="20"/>
    </w:rPr>
  </w:style>
  <w:style w:type="character" w:styleId="1108" w:customStyle="1">
    <w:name w:val="_正文段落 Char"/>
    <w:link w:val="1109"/>
    <w:uiPriority w:val="0"/>
    <w:qFormat/>
    <w:rPr>
      <w:rFonts w:ascii="宋体" w:hAnsi="宋体"/>
      <w:sz w:val="24"/>
      <w:szCs w:val="24"/>
    </w:rPr>
  </w:style>
  <w:style w:type="paragraph" w:styleId="1109" w:customStyle="1">
    <w:name w:val="_正文段落"/>
    <w:basedOn w:val="804"/>
    <w:next w:val="804"/>
    <w:link w:val="1108"/>
    <w:uiPriority w:val="0"/>
    <w:qFormat/>
    <w:pPr>
      <w:ind w:firstLine="200"/>
      <w:jc w:val="both"/>
      <w:spacing w:line="360" w:lineRule="auto"/>
    </w:pPr>
    <w:rPr>
      <w:rFonts w:hAnsi="宋体" w:cs="Times New Roman"/>
      <w:sz w:val="24"/>
      <w:szCs w:val="24"/>
    </w:rPr>
  </w:style>
  <w:style w:type="table" w:styleId="1110"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11" w:customStyle="1">
    <w:name w:val="批注框文本 字符"/>
    <w:basedOn w:val="814"/>
    <w:link w:val="830"/>
    <w:uiPriority w:val="99"/>
    <w:semiHidden/>
    <w:qFormat/>
    <w:rPr>
      <w:rFonts w:ascii="宋体" w:cs="宋体"/>
      <w:sz w:val="18"/>
      <w:szCs w:val="18"/>
    </w:rPr>
  </w:style>
  <w:style w:type="character" w:styleId="1112" w:customStyle="1">
    <w:name w:val="正文首行缩进 2 字符"/>
    <w:basedOn w:val="1043"/>
    <w:link w:val="845"/>
    <w:uiPriority w:val="99"/>
    <w:semiHidden/>
    <w:qFormat/>
    <w:rPr>
      <w:rFonts w:ascii="宋体" w:hAnsi="Times New Roman" w:eastAsia="宋体" w:cs="宋体"/>
      <w:sz w:val="22"/>
      <w:szCs w:val="22"/>
    </w:rPr>
  </w:style>
  <w:style w:type="character" w:styleId="1113" w:customStyle="1">
    <w:name w:val="纯文本 Char Char"/>
    <w:link w:val="1114"/>
    <w:uiPriority w:val="0"/>
    <w:qFormat/>
    <w:rPr>
      <w:rFonts w:ascii="宋体" w:hAnsi="Courier New" w:eastAsia="楷体_GB2312"/>
      <w:sz w:val="26"/>
      <w:szCs w:val="24"/>
    </w:rPr>
  </w:style>
  <w:style w:type="paragraph" w:styleId="1114" w:customStyle="1">
    <w:name w:val="纯文本11"/>
    <w:basedOn w:val="804"/>
    <w:link w:val="1113"/>
    <w:uiPriority w:val="0"/>
    <w:qFormat/>
    <w:pPr>
      <w:widowControl/>
    </w:pPr>
    <w:rPr>
      <w:rFonts w:hAnsi="Courier New" w:eastAsia="楷体_GB2312" w:cs="Times New Roman"/>
      <w:sz w:val="26"/>
      <w:szCs w:val="24"/>
    </w:rPr>
  </w:style>
  <w:style w:type="character" w:styleId="1115">
    <w:name w:val="Placeholder Text"/>
    <w:basedOn w:val="814"/>
    <w:uiPriority w:val="99"/>
    <w:semiHidden/>
    <w:qFormat/>
    <w:rPr>
      <w:color w:val="808080"/>
    </w:rPr>
  </w:style>
  <w:style w:type="character" w:styleId="1116" w:customStyle="1">
    <w:name w:val="Table Text Char1"/>
    <w:link w:val="1117"/>
    <w:uiPriority w:val="0"/>
    <w:qFormat/>
    <w:rPr>
      <w:rFonts w:ascii="Arial" w:hAnsi="Arial" w:eastAsia="Times New Roman" w:cs="Arial"/>
      <w:sz w:val="18"/>
      <w:szCs w:val="18"/>
    </w:rPr>
  </w:style>
  <w:style w:type="paragraph" w:styleId="1117" w:customStyle="1">
    <w:name w:val="Table Text"/>
    <w:link w:val="1116"/>
    <w:uiPriority w:val="0"/>
    <w:qFormat/>
    <w:pPr>
      <w:spacing w:before="80" w:after="80"/>
    </w:pPr>
    <w:rPr>
      <w:rFonts w:hint="default" w:ascii="Arial" w:hAnsi="Arial" w:eastAsia="Times New Roman" w:cs="Arial"/>
      <w:sz w:val="18"/>
      <w:szCs w:val="18"/>
      <w:lang w:val="en-US" w:eastAsia="zh-CN" w:bidi="ar-SA"/>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沈亚</cp:lastModifiedBy>
  <cp:revision>131</cp:revision>
  <dcterms:created xsi:type="dcterms:W3CDTF">2024-08-07T02:37:00Z</dcterms:created>
  <dcterms:modified xsi:type="dcterms:W3CDTF">2026-01-08T03:27:46Z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75F0DD70960A4539BDAAA21740DF4537_13</vt:lpwstr>
  </property>
  <property fmtid="{D5CDD505-2E9C-101B-9397-08002B2CF9AE}" pid="4" name="KSOTemplateDocerSaveRecord">
    <vt:lpwstr>eyJoZGlkIjoiYjY0OTY2MDdiNjVmOWJjY2Q3MDkyNmM3NzAwMzNkMmEiLCJ1c2VySWQiOiIxODAzODU3MCJ9</vt:lpwstr>
  </property>
</Properties>
</file>